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87" w:rsidRPr="006009CA" w:rsidRDefault="00D97487" w:rsidP="00D97487">
      <w:pPr>
        <w:pStyle w:val="Heading1"/>
        <w:spacing w:line="240" w:lineRule="auto"/>
        <w:ind w:right="545"/>
        <w:rPr>
          <w:color w:val="4472C4"/>
        </w:rPr>
      </w:pPr>
      <w:r>
        <w:rPr>
          <w:rStyle w:val="Heading1"/>
          <w:color w:val="4472C4"/>
        </w:rPr>
        <w:t>Point 24 de l</w:t>
      </w:r>
      <w:r>
        <w:rPr>
          <w:rStyle w:val="Heading1"/>
          <w:rFonts w:cs="Century Gothic"/>
          <w:color w:val="4472C4"/>
          <w:cs/>
        </w:rPr>
        <w:t>’</w:t>
      </w:r>
      <w:r>
        <w:rPr>
          <w:rStyle w:val="Heading1"/>
          <w:color w:val="4472C4"/>
        </w:rPr>
        <w:t>ordre du jour</w:t>
      </w:r>
      <w:r w:rsidR="00C31126">
        <w:rPr>
          <w:rStyle w:val="Heading1"/>
          <w:color w:val="4472C4"/>
        </w:rPr>
        <w:t>.</w:t>
      </w:r>
      <w:r>
        <w:rPr>
          <w:rStyle w:val="Heading1"/>
          <w:color w:val="4472C4"/>
        </w:rPr>
        <w:t xml:space="preserve"> </w:t>
      </w:r>
      <w:r w:rsidR="00C31126">
        <w:rPr>
          <w:rStyle w:val="Heading1"/>
          <w:color w:val="4472C4"/>
        </w:rPr>
        <w:t>S</w:t>
      </w:r>
      <w:r>
        <w:rPr>
          <w:rStyle w:val="Heading1"/>
          <w:color w:val="4472C4"/>
        </w:rPr>
        <w:t>ecrétariat indépendant et autres questions opérationnelles du GAC (y compris les principes opérationnels du GAC et les élections de dirigeants du GAC de 2018)</w:t>
      </w:r>
    </w:p>
    <w:p w:rsidR="00D97487" w:rsidRPr="006009CA" w:rsidRDefault="00D97487" w:rsidP="00D97487">
      <w:pPr>
        <w:pStyle w:val="Heading2"/>
        <w:rPr>
          <w:color w:val="4472C4"/>
          <w:sz w:val="22"/>
          <w:szCs w:val="22"/>
        </w:rPr>
      </w:pPr>
      <w:r>
        <w:rPr>
          <w:rStyle w:val="Heading2"/>
          <w:color w:val="4472C4"/>
          <w:sz w:val="22"/>
        </w:rPr>
        <w:t xml:space="preserve">Note : </w:t>
      </w:r>
      <w:r>
        <w:rPr>
          <w:rStyle w:val="Heading2"/>
          <w:b w:val="0"/>
          <w:sz w:val="22"/>
        </w:rPr>
        <w:t>le présent document a été préparé par le personnel de l</w:t>
      </w:r>
      <w:r>
        <w:rPr>
          <w:rStyle w:val="Heading2"/>
          <w:rFonts w:cs="Century Gothic"/>
          <w:b w:val="0"/>
          <w:sz w:val="22"/>
          <w:cs/>
        </w:rPr>
        <w:t>’</w:t>
      </w:r>
      <w:r>
        <w:rPr>
          <w:rStyle w:val="Heading2"/>
          <w:b w:val="0"/>
          <w:sz w:val="22"/>
        </w:rPr>
        <w:t>ICANN chargé du soutien au GAC.</w:t>
      </w:r>
    </w:p>
    <w:p w:rsidR="00D97487" w:rsidRPr="006009CA" w:rsidRDefault="00D97487" w:rsidP="00D97487">
      <w:pPr>
        <w:pStyle w:val="Heading2"/>
        <w:rPr>
          <w:color w:val="4472C4"/>
          <w:sz w:val="28"/>
          <w:szCs w:val="28"/>
        </w:rPr>
      </w:pPr>
      <w:r>
        <w:rPr>
          <w:rStyle w:val="Heading2"/>
          <w:color w:val="4472C4"/>
          <w:sz w:val="28"/>
        </w:rPr>
        <w:t>A. Problématique : Continuité des services de secrétariat indépendant du GAC.</w:t>
      </w:r>
    </w:p>
    <w:p w:rsidR="00D97487" w:rsidRPr="00DB6B36" w:rsidRDefault="00D97487" w:rsidP="00D97487">
      <w:pPr>
        <w:pStyle w:val="Heading2"/>
      </w:pPr>
      <w:r>
        <w:rPr>
          <w:rStyle w:val="Heading2"/>
        </w:rPr>
        <w:t>Action requise par le GAC</w:t>
      </w:r>
      <w:bookmarkStart w:id="0" w:name="_GoBack"/>
      <w:bookmarkEnd w:id="0"/>
    </w:p>
    <w:p w:rsidR="00D97487" w:rsidRPr="001A26D4" w:rsidRDefault="00D97487" w:rsidP="00D97487">
      <w:pPr>
        <w:pStyle w:val="Heading2"/>
        <w:numPr>
          <w:ilvl w:val="0"/>
          <w:numId w:val="7"/>
        </w:numPr>
        <w:rPr>
          <w:b w:val="0"/>
        </w:rPr>
      </w:pPr>
      <w:r>
        <w:rPr>
          <w:rStyle w:val="Heading2"/>
          <w:b w:val="0"/>
        </w:rPr>
        <w:t>Confirmer que le GAC souhaite poursuivre et soutenir financièrement un secrétariat indépendant.</w:t>
      </w:r>
    </w:p>
    <w:p w:rsidR="00D97487" w:rsidRPr="001A26D4" w:rsidRDefault="00D97487" w:rsidP="00D97487">
      <w:pPr>
        <w:pStyle w:val="Heading2"/>
        <w:numPr>
          <w:ilvl w:val="0"/>
          <w:numId w:val="7"/>
        </w:numPr>
        <w:rPr>
          <w:b w:val="0"/>
        </w:rPr>
      </w:pPr>
      <w:r>
        <w:rPr>
          <w:rStyle w:val="Heading2"/>
          <w:b w:val="0"/>
        </w:rPr>
        <w:t>Accorder le lancement d</w:t>
      </w:r>
      <w:r>
        <w:rPr>
          <w:rStyle w:val="Heading2"/>
          <w:rFonts w:cs="Century Gothic"/>
          <w:b w:val="0"/>
          <w:cs/>
        </w:rPr>
        <w:t>’</w:t>
      </w:r>
      <w:r>
        <w:rPr>
          <w:rStyle w:val="Heading2"/>
          <w:b w:val="0"/>
        </w:rPr>
        <w:t>un appel à volontaires pour établir un petit groupe de travail qui avance potentiellement sur les questions suivantes dans la période intersessions :</w:t>
      </w:r>
    </w:p>
    <w:p w:rsidR="00D97487" w:rsidRPr="001A26D4" w:rsidRDefault="00D97487" w:rsidP="00D97487">
      <w:pPr>
        <w:pStyle w:val="Heading2"/>
        <w:numPr>
          <w:ilvl w:val="0"/>
          <w:numId w:val="8"/>
        </w:numPr>
        <w:rPr>
          <w:b w:val="0"/>
        </w:rPr>
      </w:pPr>
      <w:r>
        <w:rPr>
          <w:rStyle w:val="Heading2"/>
          <w:b w:val="0"/>
        </w:rPr>
        <w:t>Évaluer les options de financement durable.</w:t>
      </w:r>
    </w:p>
    <w:p w:rsidR="00D97487" w:rsidRPr="001A26D4" w:rsidRDefault="00D97487" w:rsidP="00D97487">
      <w:pPr>
        <w:pStyle w:val="Heading2"/>
        <w:numPr>
          <w:ilvl w:val="0"/>
          <w:numId w:val="8"/>
        </w:numPr>
        <w:rPr>
          <w:b w:val="0"/>
        </w:rPr>
      </w:pPr>
      <w:r>
        <w:rPr>
          <w:rStyle w:val="Heading2"/>
          <w:b w:val="0"/>
        </w:rPr>
        <w:t>Rédiger un processus d</w:t>
      </w:r>
      <w:r>
        <w:rPr>
          <w:rStyle w:val="Heading2"/>
          <w:rFonts w:cs="Century Gothic"/>
          <w:b w:val="0"/>
          <w:cs/>
        </w:rPr>
        <w:t>’</w:t>
      </w:r>
      <w:r>
        <w:rPr>
          <w:rStyle w:val="Heading2"/>
          <w:b w:val="0"/>
        </w:rPr>
        <w:t>appel d</w:t>
      </w:r>
      <w:r>
        <w:rPr>
          <w:rStyle w:val="Heading2"/>
          <w:rFonts w:cs="Century Gothic"/>
          <w:b w:val="0"/>
          <w:cs/>
        </w:rPr>
        <w:t>’</w:t>
      </w:r>
      <w:r>
        <w:rPr>
          <w:rStyle w:val="Heading2"/>
          <w:b w:val="0"/>
        </w:rPr>
        <w:t>offres, y compris un échéancier, des critères d</w:t>
      </w:r>
      <w:r>
        <w:rPr>
          <w:rStyle w:val="Heading2"/>
          <w:rFonts w:cs="Century Gothic"/>
          <w:b w:val="0"/>
          <w:cs/>
        </w:rPr>
        <w:t>’</w:t>
      </w:r>
      <w:r>
        <w:rPr>
          <w:rStyle w:val="Heading2"/>
          <w:b w:val="0"/>
        </w:rPr>
        <w:t>évaluation et un comité de sélection.</w:t>
      </w:r>
    </w:p>
    <w:p w:rsidR="00D97487" w:rsidRPr="001A26D4" w:rsidRDefault="00D97487" w:rsidP="00D97487">
      <w:pPr>
        <w:pStyle w:val="Heading2"/>
        <w:numPr>
          <w:ilvl w:val="0"/>
          <w:numId w:val="8"/>
        </w:numPr>
        <w:rPr>
          <w:b w:val="0"/>
        </w:rPr>
      </w:pPr>
      <w:r>
        <w:rPr>
          <w:rStyle w:val="Heading2"/>
          <w:b w:val="0"/>
        </w:rPr>
        <w:t>Informer le GAC des recommandations dans un délai convenu.</w:t>
      </w:r>
    </w:p>
    <w:p w:rsidR="00D97487" w:rsidRPr="001A26D4" w:rsidRDefault="00D97487" w:rsidP="00D97487">
      <w:pPr>
        <w:pStyle w:val="Heading2"/>
        <w:numPr>
          <w:ilvl w:val="0"/>
          <w:numId w:val="7"/>
        </w:numPr>
        <w:rPr>
          <w:b w:val="0"/>
        </w:rPr>
      </w:pPr>
      <w:r>
        <w:rPr>
          <w:rStyle w:val="Heading2"/>
          <w:b w:val="0"/>
        </w:rPr>
        <w:t>Accorder des arrangements de transfert pour la conclusion du contrat de l</w:t>
      </w:r>
      <w:r>
        <w:rPr>
          <w:rStyle w:val="Heading2"/>
          <w:rFonts w:cs="Century Gothic"/>
          <w:b w:val="0"/>
          <w:cs/>
        </w:rPr>
        <w:t>’</w:t>
      </w:r>
      <w:r>
        <w:rPr>
          <w:rStyle w:val="Heading2"/>
          <w:b w:val="0"/>
        </w:rPr>
        <w:t>ACIG, y compris le personnel de soutien de l</w:t>
      </w:r>
      <w:r>
        <w:rPr>
          <w:rStyle w:val="Heading2"/>
          <w:rFonts w:cs="Century Gothic"/>
          <w:b w:val="0"/>
          <w:cs/>
        </w:rPr>
        <w:t>’</w:t>
      </w:r>
      <w:r>
        <w:rPr>
          <w:rStyle w:val="Heading2"/>
          <w:b w:val="0"/>
        </w:rPr>
        <w:t>ICANN en cas d</w:t>
      </w:r>
      <w:r>
        <w:rPr>
          <w:rStyle w:val="Heading2"/>
          <w:rFonts w:cs="Century Gothic"/>
          <w:b w:val="0"/>
          <w:cs/>
        </w:rPr>
        <w:t>’</w:t>
      </w:r>
      <w:r>
        <w:rPr>
          <w:rStyle w:val="Heading2"/>
          <w:b w:val="0"/>
        </w:rPr>
        <w:t>absence d</w:t>
      </w:r>
      <w:r>
        <w:rPr>
          <w:rStyle w:val="Heading2"/>
          <w:rFonts w:cs="Century Gothic"/>
          <w:b w:val="0"/>
          <w:cs/>
        </w:rPr>
        <w:t>’</w:t>
      </w:r>
      <w:r>
        <w:rPr>
          <w:rStyle w:val="Heading2"/>
          <w:b w:val="0"/>
        </w:rPr>
        <w:t>autre dispositions.</w:t>
      </w:r>
    </w:p>
    <w:p w:rsidR="00D97487" w:rsidRPr="0007611F" w:rsidRDefault="00D97487" w:rsidP="00D97487">
      <w:pPr>
        <w:pStyle w:val="Heading2"/>
      </w:pPr>
      <w:r>
        <w:rPr>
          <w:rStyle w:val="Heading2"/>
        </w:rPr>
        <w:t>Position actuelle</w:t>
      </w:r>
    </w:p>
    <w:p w:rsidR="00D97487" w:rsidRPr="001A26D4" w:rsidRDefault="00D97487" w:rsidP="00D97487">
      <w:pPr>
        <w:pStyle w:val="Heading2"/>
        <w:rPr>
          <w:b w:val="0"/>
        </w:rPr>
      </w:pPr>
      <w:r>
        <w:rPr>
          <w:rStyle w:val="Heading2"/>
          <w:b w:val="0"/>
        </w:rPr>
        <w:lastRenderedPageBreak/>
        <w:t>L</w:t>
      </w:r>
      <w:r>
        <w:rPr>
          <w:rStyle w:val="Heading2"/>
          <w:rFonts w:cs="Century Gothic"/>
          <w:b w:val="0"/>
          <w:cs/>
        </w:rPr>
        <w:t>’</w:t>
      </w:r>
      <w:r>
        <w:rPr>
          <w:rStyle w:val="Heading2"/>
          <w:b w:val="0"/>
        </w:rPr>
        <w:t>ACIG fournit des services de secrétariat indépendant pour le GAC depuis novembre 2013. Ceci, dans le cadre d</w:t>
      </w:r>
      <w:r>
        <w:rPr>
          <w:rStyle w:val="Heading2"/>
          <w:rFonts w:cs="Century Gothic"/>
          <w:b w:val="0"/>
          <w:cs/>
        </w:rPr>
        <w:t>’</w:t>
      </w:r>
      <w:r>
        <w:rPr>
          <w:rStyle w:val="Heading2"/>
          <w:b w:val="0"/>
        </w:rPr>
        <w:t>un contrat entre l</w:t>
      </w:r>
      <w:r>
        <w:rPr>
          <w:rStyle w:val="Heading2"/>
          <w:rFonts w:cs="Century Gothic"/>
          <w:b w:val="0"/>
          <w:cs/>
        </w:rPr>
        <w:t>’</w:t>
      </w:r>
      <w:r>
        <w:rPr>
          <w:rStyle w:val="Heading2"/>
          <w:b w:val="0"/>
        </w:rPr>
        <w:t>ICANN et l</w:t>
      </w:r>
      <w:r>
        <w:rPr>
          <w:rStyle w:val="Heading2"/>
          <w:rFonts w:cs="Century Gothic"/>
          <w:b w:val="0"/>
          <w:cs/>
        </w:rPr>
        <w:t>’</w:t>
      </w:r>
      <w:r>
        <w:rPr>
          <w:rStyle w:val="Heading2"/>
          <w:b w:val="0"/>
        </w:rPr>
        <w:t>ACIG. Les fonds proviennent de membres du GAC qui sont des bailleurs de fonds. Le paiement est effectué par le biais d</w:t>
      </w:r>
      <w:r>
        <w:rPr>
          <w:rStyle w:val="Heading2"/>
          <w:rFonts w:cs="Century Gothic"/>
          <w:b w:val="0"/>
          <w:cs/>
        </w:rPr>
        <w:t>’</w:t>
      </w:r>
      <w:r>
        <w:rPr>
          <w:rStyle w:val="Heading2"/>
          <w:b w:val="0"/>
        </w:rPr>
        <w:t>une association de financement du secrétariat du GAC administrée par le gouvernement suisse et les bailleurs de fonds. Les services de l</w:t>
      </w:r>
      <w:r>
        <w:rPr>
          <w:rStyle w:val="Heading2"/>
          <w:rFonts w:cs="Century Gothic"/>
          <w:b w:val="0"/>
          <w:cs/>
        </w:rPr>
        <w:t>’</w:t>
      </w:r>
      <w:r>
        <w:rPr>
          <w:rStyle w:val="Heading2"/>
          <w:b w:val="0"/>
        </w:rPr>
        <w:t>ACIG continuent jusqu</w:t>
      </w:r>
      <w:r>
        <w:rPr>
          <w:rStyle w:val="Heading2"/>
          <w:rFonts w:cs="Century Gothic"/>
          <w:b w:val="0"/>
          <w:cs/>
        </w:rPr>
        <w:t>’</w:t>
      </w:r>
      <w:r>
        <w:rPr>
          <w:rStyle w:val="Heading2"/>
          <w:b w:val="0"/>
        </w:rPr>
        <w:t>au 31 janvier 2019, ou plus tôt d</w:t>
      </w:r>
      <w:r>
        <w:rPr>
          <w:rStyle w:val="Heading2"/>
          <w:rFonts w:cs="Century Gothic"/>
          <w:b w:val="0"/>
          <w:cs/>
        </w:rPr>
        <w:t>’</w:t>
      </w:r>
      <w:r>
        <w:rPr>
          <w:rStyle w:val="Heading2"/>
          <w:b w:val="0"/>
        </w:rPr>
        <w:t xml:space="preserve">un commun accord. </w:t>
      </w:r>
    </w:p>
    <w:p w:rsidR="00D97487" w:rsidRPr="001A26D4" w:rsidRDefault="00D97487" w:rsidP="00D97487">
      <w:pPr>
        <w:pStyle w:val="Heading2"/>
      </w:pPr>
      <w:r>
        <w:rPr>
          <w:rStyle w:val="Heading2"/>
        </w:rPr>
        <w:t>Lors de la réunion de l</w:t>
      </w:r>
      <w:r>
        <w:rPr>
          <w:rStyle w:val="Heading2"/>
          <w:rFonts w:cs="Century Gothic"/>
          <w:cs/>
        </w:rPr>
        <w:t>’</w:t>
      </w:r>
      <w:r>
        <w:rPr>
          <w:rStyle w:val="Heading2"/>
        </w:rPr>
        <w:t xml:space="preserve">ICANN à San Juan (ICANN 62)  </w:t>
      </w:r>
    </w:p>
    <w:p w:rsidR="00D97487" w:rsidRPr="001A26D4" w:rsidRDefault="00D97487" w:rsidP="00D97487">
      <w:pPr>
        <w:pStyle w:val="Heading2"/>
        <w:rPr>
          <w:b w:val="0"/>
        </w:rPr>
      </w:pPr>
      <w:r>
        <w:rPr>
          <w:rStyle w:val="Heading2"/>
          <w:b w:val="0"/>
        </w:rPr>
        <w:t>L</w:t>
      </w:r>
      <w:r>
        <w:rPr>
          <w:rStyle w:val="Heading2"/>
          <w:rFonts w:cs="Century Gothic"/>
          <w:b w:val="0"/>
          <w:cs/>
        </w:rPr>
        <w:t>’</w:t>
      </w:r>
      <w:r>
        <w:rPr>
          <w:rStyle w:val="Heading2"/>
          <w:b w:val="0"/>
        </w:rPr>
        <w:t>association de bailleurs de fonds pour le secrétariat du GAC a informé le GAC que le financement du secrétariat à 1,0 FTE semble suffisant pour que les services soient fournis jusqu</w:t>
      </w:r>
      <w:r>
        <w:rPr>
          <w:rStyle w:val="Heading2"/>
          <w:rFonts w:cs="Century Gothic"/>
          <w:b w:val="0"/>
          <w:cs/>
        </w:rPr>
        <w:t>’</w:t>
      </w:r>
      <w:r>
        <w:rPr>
          <w:rStyle w:val="Heading2"/>
          <w:b w:val="0"/>
        </w:rPr>
        <w:t xml:space="preserve">à la fin de 2018 en vertu du contrat actuel. </w:t>
      </w:r>
    </w:p>
    <w:p w:rsidR="00D97487" w:rsidRPr="001A26D4" w:rsidRDefault="00D97487" w:rsidP="00D97487">
      <w:pPr>
        <w:pStyle w:val="Heading2"/>
        <w:rPr>
          <w:b w:val="0"/>
        </w:rPr>
      </w:pPr>
      <w:r>
        <w:rPr>
          <w:rStyle w:val="Heading2"/>
          <w:b w:val="0"/>
        </w:rPr>
        <w:t>L</w:t>
      </w:r>
      <w:r>
        <w:rPr>
          <w:rStyle w:val="Heading2"/>
          <w:rFonts w:cs="Century Gothic"/>
          <w:b w:val="0"/>
          <w:cs/>
        </w:rPr>
        <w:t>’</w:t>
      </w:r>
      <w:r>
        <w:rPr>
          <w:rStyle w:val="Heading2"/>
          <w:b w:val="0"/>
        </w:rPr>
        <w:t>ACIG (à travers Tom Dale) a informé le GAC que, pour des raisons commerciales, la société ne cherchera plus à prolonger le contrat au-delà du 31 janvier 2019. En fonction du financement et du consentement du président du GAC, l</w:t>
      </w:r>
      <w:r>
        <w:rPr>
          <w:rStyle w:val="Heading2"/>
          <w:rFonts w:cs="Century Gothic"/>
          <w:b w:val="0"/>
          <w:cs/>
        </w:rPr>
        <w:t>’</w:t>
      </w:r>
      <w:r>
        <w:rPr>
          <w:rStyle w:val="Heading2"/>
          <w:b w:val="0"/>
        </w:rPr>
        <w:t>ACIG fournira des services jusqu</w:t>
      </w:r>
      <w:r>
        <w:rPr>
          <w:rStyle w:val="Heading2"/>
          <w:rFonts w:cs="Century Gothic"/>
          <w:b w:val="0"/>
          <w:cs/>
        </w:rPr>
        <w:t>’</w:t>
      </w:r>
      <w:r>
        <w:rPr>
          <w:rStyle w:val="Heading2"/>
          <w:b w:val="0"/>
        </w:rPr>
        <w:t>à la fin de la réunion de Barcelone ou jusqu</w:t>
      </w:r>
      <w:r>
        <w:rPr>
          <w:rStyle w:val="Heading2"/>
          <w:rFonts w:cs="Century Gothic"/>
          <w:b w:val="0"/>
          <w:cs/>
        </w:rPr>
        <w:t>’</w:t>
      </w:r>
      <w:r>
        <w:rPr>
          <w:rStyle w:val="Heading2"/>
          <w:b w:val="0"/>
        </w:rPr>
        <w:t>à la conclusion formelle du contrat.</w:t>
      </w:r>
    </w:p>
    <w:p w:rsidR="00D97487" w:rsidRPr="001A26D4" w:rsidRDefault="00D97487" w:rsidP="00D97487">
      <w:pPr>
        <w:pStyle w:val="Heading2"/>
        <w:rPr>
          <w:b w:val="0"/>
        </w:rPr>
      </w:pPr>
      <w:r>
        <w:rPr>
          <w:rStyle w:val="Heading2"/>
          <w:b w:val="0"/>
        </w:rPr>
        <w:t>Le leadership du GAC et les membres du GAC intéressés, avec l</w:t>
      </w:r>
      <w:r>
        <w:rPr>
          <w:rStyle w:val="Heading2"/>
          <w:rFonts w:cs="Century Gothic"/>
          <w:b w:val="0"/>
          <w:cs/>
        </w:rPr>
        <w:t>’</w:t>
      </w:r>
      <w:r>
        <w:rPr>
          <w:rStyle w:val="Heading2"/>
          <w:b w:val="0"/>
        </w:rPr>
        <w:t>appui des bailleurs de fonds existants, formeront un petit groupe de travail pour identifier les options de financement durable qui seront opérationnelles à partir de janvier 2019 et continueront d</w:t>
      </w:r>
      <w:r>
        <w:rPr>
          <w:rStyle w:val="Heading2"/>
          <w:rFonts w:cs="Century Gothic"/>
          <w:b w:val="0"/>
          <w:cs/>
        </w:rPr>
        <w:t>’</w:t>
      </w:r>
      <w:r>
        <w:rPr>
          <w:rStyle w:val="Heading2"/>
          <w:b w:val="0"/>
        </w:rPr>
        <w:t>explorer les moyens par lesquels il serait possible d</w:t>
      </w:r>
      <w:r>
        <w:rPr>
          <w:rStyle w:val="Heading2"/>
          <w:rFonts w:cs="Century Gothic"/>
          <w:b w:val="0"/>
          <w:cs/>
        </w:rPr>
        <w:t>’</w:t>
      </w:r>
      <w:r>
        <w:rPr>
          <w:rStyle w:val="Heading2"/>
          <w:b w:val="0"/>
        </w:rPr>
        <w:t>obtenir du financement de l</w:t>
      </w:r>
      <w:r>
        <w:rPr>
          <w:rStyle w:val="Heading2"/>
          <w:rFonts w:cs="Century Gothic"/>
          <w:b w:val="0"/>
          <w:cs/>
        </w:rPr>
        <w:t>’</w:t>
      </w:r>
      <w:r>
        <w:rPr>
          <w:rStyle w:val="Heading2"/>
          <w:b w:val="0"/>
        </w:rPr>
        <w:t>ICANN.</w:t>
      </w:r>
    </w:p>
    <w:p w:rsidR="00D97487" w:rsidRPr="001A26D4" w:rsidRDefault="00D97487" w:rsidP="00D97487">
      <w:pPr>
        <w:pStyle w:val="Heading2"/>
      </w:pPr>
      <w:r>
        <w:rPr>
          <w:rStyle w:val="Heading2"/>
          <w:b w:val="0"/>
        </w:rPr>
        <w:t>Le secrétariat de l</w:t>
      </w:r>
      <w:r>
        <w:rPr>
          <w:rStyle w:val="Heading2"/>
          <w:rFonts w:cs="Century Gothic"/>
          <w:b w:val="0"/>
          <w:cs/>
        </w:rPr>
        <w:t>’</w:t>
      </w:r>
      <w:r>
        <w:rPr>
          <w:rStyle w:val="Heading2"/>
          <w:b w:val="0"/>
        </w:rPr>
        <w:t>ACIG examinera et fera un rapport sur d</w:t>
      </w:r>
      <w:r>
        <w:rPr>
          <w:rStyle w:val="Heading2"/>
          <w:rFonts w:cs="Century Gothic"/>
          <w:b w:val="0"/>
          <w:cs/>
        </w:rPr>
        <w:t>’</w:t>
      </w:r>
      <w:r>
        <w:rPr>
          <w:rStyle w:val="Heading2"/>
          <w:b w:val="0"/>
        </w:rPr>
        <w:t>autres secrétariats financés indépendamment au sein de l</w:t>
      </w:r>
      <w:r>
        <w:rPr>
          <w:rStyle w:val="Heading2"/>
          <w:rFonts w:cs="Century Gothic"/>
          <w:b w:val="0"/>
          <w:cs/>
        </w:rPr>
        <w:t>’</w:t>
      </w:r>
      <w:r>
        <w:rPr>
          <w:rStyle w:val="Heading2"/>
          <w:b w:val="0"/>
        </w:rPr>
        <w:t>ICANN.</w:t>
      </w:r>
    </w:p>
    <w:p w:rsidR="00D97487" w:rsidRPr="00DB6B36" w:rsidRDefault="00D97487" w:rsidP="00D97487">
      <w:pPr>
        <w:pStyle w:val="Heading2"/>
      </w:pPr>
      <w:r>
        <w:rPr>
          <w:rStyle w:val="Heading2"/>
        </w:rPr>
        <w:t>Secrétariat indépendant du GAC</w:t>
      </w:r>
    </w:p>
    <w:p w:rsidR="00D97487" w:rsidRPr="001A26D4" w:rsidRDefault="00D97487" w:rsidP="00D97487">
      <w:pPr>
        <w:pStyle w:val="Heading2"/>
        <w:rPr>
          <w:b w:val="0"/>
        </w:rPr>
      </w:pPr>
      <w:r>
        <w:rPr>
          <w:rStyle w:val="Heading2"/>
          <w:b w:val="0"/>
        </w:rPr>
        <w:t>Les services actuellement offerts par l</w:t>
      </w:r>
      <w:r>
        <w:rPr>
          <w:rStyle w:val="Heading2"/>
          <w:rFonts w:cs="Century Gothic"/>
          <w:b w:val="0"/>
          <w:cs/>
        </w:rPr>
        <w:t>’</w:t>
      </w:r>
      <w:r>
        <w:rPr>
          <w:rStyle w:val="Heading2"/>
          <w:b w:val="0"/>
        </w:rPr>
        <w:t>ACIG sont énoncés à l</w:t>
      </w:r>
      <w:r>
        <w:rPr>
          <w:rStyle w:val="Heading2"/>
          <w:rFonts w:cs="Century Gothic"/>
          <w:b w:val="0"/>
          <w:cs/>
        </w:rPr>
        <w:t>’</w:t>
      </w:r>
      <w:r>
        <w:rPr>
          <w:rStyle w:val="Heading2"/>
          <w:b w:val="0"/>
        </w:rPr>
        <w:t>annexe 1.</w:t>
      </w:r>
    </w:p>
    <w:p w:rsidR="00D97487" w:rsidRPr="001A26D4" w:rsidRDefault="00D97487" w:rsidP="00D97487">
      <w:pPr>
        <w:pStyle w:val="Heading2"/>
        <w:rPr>
          <w:b w:val="0"/>
        </w:rPr>
      </w:pPr>
      <w:r>
        <w:rPr>
          <w:rStyle w:val="Heading2"/>
          <w:b w:val="0"/>
        </w:rPr>
        <w:lastRenderedPageBreak/>
        <w:t>Les services de secrétariat d</w:t>
      </w:r>
      <w:r>
        <w:rPr>
          <w:rStyle w:val="Heading2"/>
          <w:rFonts w:cs="Century Gothic"/>
          <w:b w:val="0"/>
          <w:cs/>
        </w:rPr>
        <w:t>’</w:t>
      </w:r>
      <w:r>
        <w:rPr>
          <w:rStyle w:val="Heading2"/>
          <w:b w:val="0"/>
        </w:rPr>
        <w:t>autres organisations de soutien et comités consultatifs sont fournis par l</w:t>
      </w:r>
      <w:r>
        <w:rPr>
          <w:rStyle w:val="Heading2"/>
          <w:rFonts w:cs="Century Gothic"/>
          <w:b w:val="0"/>
          <w:cs/>
        </w:rPr>
        <w:t>’</w:t>
      </w:r>
      <w:r>
        <w:rPr>
          <w:rStyle w:val="Heading2"/>
          <w:b w:val="0"/>
        </w:rPr>
        <w:t>ICANN. Les PDG successifs de l</w:t>
      </w:r>
      <w:r>
        <w:rPr>
          <w:rStyle w:val="Heading2"/>
          <w:rFonts w:cs="Century Gothic"/>
          <w:b w:val="0"/>
          <w:cs/>
        </w:rPr>
        <w:t>’</w:t>
      </w:r>
      <w:r>
        <w:rPr>
          <w:rStyle w:val="Heading2"/>
          <w:b w:val="0"/>
        </w:rPr>
        <w:t>ICANN ont refusé de soutenir financièrement un secrétariat indépendant pour le GAC, faisant valoir que le personnel de l</w:t>
      </w:r>
      <w:r>
        <w:rPr>
          <w:rStyle w:val="Heading2"/>
          <w:rFonts w:cs="Century Gothic"/>
          <w:b w:val="0"/>
          <w:cs/>
        </w:rPr>
        <w:t>’</w:t>
      </w:r>
      <w:r>
        <w:rPr>
          <w:rStyle w:val="Heading2"/>
          <w:b w:val="0"/>
        </w:rPr>
        <w:t xml:space="preserve">ICANN peut fournir les services nécessaires. </w:t>
      </w:r>
    </w:p>
    <w:p w:rsidR="00D97487" w:rsidRPr="001A26D4" w:rsidRDefault="00D97487" w:rsidP="00D97487">
      <w:pPr>
        <w:pStyle w:val="Heading2"/>
        <w:rPr>
          <w:b w:val="0"/>
        </w:rPr>
      </w:pPr>
      <w:r>
        <w:rPr>
          <w:rStyle w:val="Heading2"/>
          <w:b w:val="0"/>
        </w:rPr>
        <w:t>Le GAC a appuyé l</w:t>
      </w:r>
      <w:r>
        <w:rPr>
          <w:rStyle w:val="Heading2"/>
          <w:rFonts w:cs="Century Gothic"/>
          <w:b w:val="0"/>
          <w:cs/>
        </w:rPr>
        <w:t>’</w:t>
      </w:r>
      <w:r>
        <w:rPr>
          <w:rStyle w:val="Heading2"/>
          <w:b w:val="0"/>
        </w:rPr>
        <w:t>idée d</w:t>
      </w:r>
      <w:r>
        <w:rPr>
          <w:rStyle w:val="Heading2"/>
          <w:rFonts w:cs="Century Gothic"/>
          <w:b w:val="0"/>
          <w:cs/>
        </w:rPr>
        <w:t>’</w:t>
      </w:r>
      <w:r>
        <w:rPr>
          <w:rStyle w:val="Heading2"/>
          <w:b w:val="0"/>
        </w:rPr>
        <w:t>un secrétariat indépendant pour s</w:t>
      </w:r>
      <w:r>
        <w:rPr>
          <w:rStyle w:val="Heading2"/>
          <w:rFonts w:cs="Century Gothic"/>
          <w:b w:val="0"/>
          <w:cs/>
        </w:rPr>
        <w:t>’</w:t>
      </w:r>
      <w:r>
        <w:rPr>
          <w:rStyle w:val="Heading2"/>
          <w:b w:val="0"/>
        </w:rPr>
        <w:t>assurer que les aspects du DNS liés à la politique publique soient identifiés et analysés avec la priorité appropriée et que le GAC ait accès à des conseillers attentifs qui doivent rendre compte directement au GAC et qui ne soient ni sous la pression de l</w:t>
      </w:r>
      <w:r>
        <w:rPr>
          <w:rStyle w:val="Heading2"/>
          <w:rFonts w:cs="Century Gothic"/>
          <w:b w:val="0"/>
          <w:cs/>
        </w:rPr>
        <w:t>’</w:t>
      </w:r>
      <w:r>
        <w:rPr>
          <w:rStyle w:val="Heading2"/>
          <w:b w:val="0"/>
        </w:rPr>
        <w:t>ICANN ni soumis aux intérêts de l</w:t>
      </w:r>
      <w:r>
        <w:rPr>
          <w:rStyle w:val="Heading2"/>
          <w:rFonts w:cs="Century Gothic"/>
          <w:b w:val="0"/>
          <w:cs/>
        </w:rPr>
        <w:t>’</w:t>
      </w:r>
      <w:r>
        <w:rPr>
          <w:rStyle w:val="Heading2"/>
          <w:b w:val="0"/>
        </w:rPr>
        <w:t>ICANN ou à ses politiques internes.</w:t>
      </w:r>
    </w:p>
    <w:p w:rsidR="00D97487" w:rsidRPr="00DB6B36" w:rsidRDefault="00D97487" w:rsidP="00D97487">
      <w:pPr>
        <w:pStyle w:val="Heading2"/>
      </w:pPr>
      <w:r>
        <w:rPr>
          <w:rStyle w:val="Heading2"/>
          <w:b w:val="0"/>
        </w:rPr>
        <w:t>Certains groupes au sein de la GNSO (Groupes des représentants des opérateurs de registres et des bureaux d</w:t>
      </w:r>
      <w:r>
        <w:rPr>
          <w:rStyle w:val="Heading2"/>
          <w:rFonts w:cs="Century Gothic"/>
          <w:b w:val="0"/>
          <w:cs/>
        </w:rPr>
        <w:t>’</w:t>
      </w:r>
      <w:r>
        <w:rPr>
          <w:rStyle w:val="Heading2"/>
          <w:b w:val="0"/>
        </w:rPr>
        <w:t>enregistrement) financent leurs propres petits secrétariats indépendants qui sont essentiellement administratifs. L</w:t>
      </w:r>
      <w:r>
        <w:rPr>
          <w:rStyle w:val="Heading2"/>
          <w:rFonts w:cs="Century Gothic"/>
          <w:b w:val="0"/>
          <w:cs/>
        </w:rPr>
        <w:t>’</w:t>
      </w:r>
      <w:r>
        <w:rPr>
          <w:rStyle w:val="Heading2"/>
          <w:b w:val="0"/>
        </w:rPr>
        <w:t>ICANN a fourni le soutien pour que les groupes engagent des services d</w:t>
      </w:r>
      <w:r>
        <w:rPr>
          <w:rStyle w:val="Heading2"/>
          <w:rFonts w:cs="Century Gothic"/>
          <w:b w:val="0"/>
          <w:cs/>
        </w:rPr>
        <w:t>’</w:t>
      </w:r>
      <w:r>
        <w:rPr>
          <w:rStyle w:val="Heading2"/>
          <w:b w:val="0"/>
        </w:rPr>
        <w:t>assistance avec, par exemple, la préparation de présentations à un processus de consultation publique, mais ce programme n</w:t>
      </w:r>
      <w:r>
        <w:rPr>
          <w:rStyle w:val="Heading2"/>
          <w:rFonts w:cs="Century Gothic"/>
          <w:b w:val="0"/>
          <w:cs/>
        </w:rPr>
        <w:t>’</w:t>
      </w:r>
      <w:r>
        <w:rPr>
          <w:rStyle w:val="Heading2"/>
          <w:b w:val="0"/>
        </w:rPr>
        <w:t>est plus financé.</w:t>
      </w:r>
    </w:p>
    <w:p w:rsidR="00D97487" w:rsidRPr="00DB6B36" w:rsidRDefault="00D97487" w:rsidP="00D97487">
      <w:pPr>
        <w:pStyle w:val="Heading2"/>
      </w:pPr>
      <w:r>
        <w:rPr>
          <w:rStyle w:val="Heading2"/>
        </w:rPr>
        <w:t>Processus de sélection de nouveaux fournisseurs et modalités de financement</w:t>
      </w:r>
    </w:p>
    <w:p w:rsidR="00D97487" w:rsidRPr="001A26D4" w:rsidRDefault="00D97487" w:rsidP="00D97487">
      <w:pPr>
        <w:pStyle w:val="Heading2"/>
        <w:rPr>
          <w:b w:val="0"/>
        </w:rPr>
      </w:pPr>
      <w:r>
        <w:rPr>
          <w:rStyle w:val="Heading2"/>
          <w:b w:val="0"/>
        </w:rPr>
        <w:t>L</w:t>
      </w:r>
      <w:r>
        <w:rPr>
          <w:rStyle w:val="Heading2"/>
          <w:rFonts w:cs="Century Gothic"/>
          <w:b w:val="0"/>
          <w:cs/>
        </w:rPr>
        <w:t>’</w:t>
      </w:r>
      <w:r>
        <w:rPr>
          <w:rStyle w:val="Heading2"/>
          <w:b w:val="0"/>
        </w:rPr>
        <w:t>ACIG a été sélectionné en 2013 pour fournir des services, suite à un processus d</w:t>
      </w:r>
      <w:r>
        <w:rPr>
          <w:rStyle w:val="Heading2"/>
          <w:rFonts w:cs="Century Gothic"/>
          <w:b w:val="0"/>
          <w:cs/>
        </w:rPr>
        <w:t>’</w:t>
      </w:r>
      <w:r>
        <w:rPr>
          <w:rStyle w:val="Heading2"/>
          <w:b w:val="0"/>
        </w:rPr>
        <w:t>appel d</w:t>
      </w:r>
      <w:r>
        <w:rPr>
          <w:rStyle w:val="Heading2"/>
          <w:rFonts w:cs="Century Gothic"/>
          <w:b w:val="0"/>
          <w:cs/>
        </w:rPr>
        <w:t>’</w:t>
      </w:r>
      <w:r>
        <w:rPr>
          <w:rStyle w:val="Heading2"/>
          <w:b w:val="0"/>
        </w:rPr>
        <w:t>offres organisé par une équipe spéciale du GAC intégrée entre autres, par la Nouvelle-Zélande, les États-Unis et la Commission européenne.</w:t>
      </w:r>
    </w:p>
    <w:p w:rsidR="00D97487" w:rsidRPr="001A26D4" w:rsidRDefault="00D97487" w:rsidP="00D97487">
      <w:pPr>
        <w:pStyle w:val="Heading2"/>
        <w:rPr>
          <w:b w:val="0"/>
        </w:rPr>
      </w:pPr>
      <w:r>
        <w:rPr>
          <w:rStyle w:val="Heading2"/>
          <w:b w:val="0"/>
        </w:rPr>
        <w:t>L</w:t>
      </w:r>
      <w:r>
        <w:rPr>
          <w:rStyle w:val="Heading2"/>
          <w:rFonts w:cs="Century Gothic"/>
          <w:b w:val="0"/>
          <w:cs/>
        </w:rPr>
        <w:t>’</w:t>
      </w:r>
      <w:r>
        <w:rPr>
          <w:rStyle w:val="Heading2"/>
          <w:b w:val="0"/>
        </w:rPr>
        <w:t>ACIG a fourni des services au niveau minimum d</w:t>
      </w:r>
      <w:r>
        <w:rPr>
          <w:rStyle w:val="Heading2"/>
          <w:rFonts w:cs="Century Gothic"/>
          <w:b w:val="0"/>
          <w:cs/>
        </w:rPr>
        <w:t>’</w:t>
      </w:r>
      <w:r>
        <w:rPr>
          <w:rStyle w:val="Heading2"/>
          <w:b w:val="0"/>
        </w:rPr>
        <w:t>un employé à plein temps (1,0 FTE) depuis le 1er mai 2017. Ceci représente une importante réduction comparée aux 2,5 FTE qui avaient été accordés lors de l</w:t>
      </w:r>
      <w:r>
        <w:rPr>
          <w:rStyle w:val="Heading2"/>
          <w:rFonts w:cs="Century Gothic"/>
          <w:b w:val="0"/>
          <w:cs/>
        </w:rPr>
        <w:t>’</w:t>
      </w:r>
      <w:r>
        <w:rPr>
          <w:rStyle w:val="Heading2"/>
          <w:b w:val="0"/>
        </w:rPr>
        <w:t>établissement initial du secrétariat du GAC en 2013.</w:t>
      </w:r>
    </w:p>
    <w:p w:rsidR="00D97487" w:rsidRPr="00DB6B36" w:rsidRDefault="00D97487" w:rsidP="00D97487">
      <w:pPr>
        <w:pStyle w:val="Heading2"/>
      </w:pPr>
      <w:r>
        <w:rPr>
          <w:rStyle w:val="Heading2"/>
          <w:b w:val="0"/>
        </w:rPr>
        <w:lastRenderedPageBreak/>
        <w:t>Le modèle de financement à ce jour a compté sur d</w:t>
      </w:r>
      <w:r>
        <w:rPr>
          <w:rStyle w:val="Heading2"/>
          <w:rFonts w:cs="Century Gothic"/>
          <w:b w:val="0"/>
          <w:cs/>
        </w:rPr>
        <w:t>’</w:t>
      </w:r>
      <w:r>
        <w:rPr>
          <w:rStyle w:val="Heading2"/>
          <w:b w:val="0"/>
        </w:rPr>
        <w:t>importantes contributions des pays bailleurs de fonds originaux (le Brésil, la Norvège et les Pays-Bas) et des contributions additionnelles d</w:t>
      </w:r>
      <w:r>
        <w:rPr>
          <w:rStyle w:val="Heading2"/>
          <w:rFonts w:cs="Century Gothic"/>
          <w:b w:val="0"/>
          <w:cs/>
        </w:rPr>
        <w:t>’</w:t>
      </w:r>
      <w:r>
        <w:rPr>
          <w:rStyle w:val="Heading2"/>
          <w:b w:val="0"/>
        </w:rPr>
        <w:t>un éventail de membres du GAC. Dans les discussions précédentes, le GAC a accepté que ce n</w:t>
      </w:r>
      <w:r>
        <w:rPr>
          <w:rStyle w:val="Heading2"/>
          <w:rFonts w:cs="Century Gothic"/>
          <w:b w:val="0"/>
          <w:cs/>
        </w:rPr>
        <w:t>’</w:t>
      </w:r>
      <w:r>
        <w:rPr>
          <w:rStyle w:val="Heading2"/>
          <w:b w:val="0"/>
        </w:rPr>
        <w:t>est pas un modèle durable, car il n</w:t>
      </w:r>
      <w:r>
        <w:rPr>
          <w:rStyle w:val="Heading2"/>
          <w:rFonts w:cs="Century Gothic"/>
          <w:b w:val="0"/>
          <w:cs/>
        </w:rPr>
        <w:t>’</w:t>
      </w:r>
      <w:r>
        <w:rPr>
          <w:rStyle w:val="Heading2"/>
          <w:b w:val="0"/>
        </w:rPr>
        <w:t>existe pas de contribution équitable ou déterminée objectivement de tous les membres du GAC et les contributions se décident chaque année plutôt qu</w:t>
      </w:r>
      <w:r>
        <w:rPr>
          <w:rStyle w:val="Heading2"/>
          <w:rFonts w:cs="Century Gothic"/>
          <w:b w:val="0"/>
          <w:cs/>
        </w:rPr>
        <w:t>’</w:t>
      </w:r>
      <w:r>
        <w:rPr>
          <w:rStyle w:val="Heading2"/>
          <w:b w:val="0"/>
        </w:rPr>
        <w:t>à long terme.</w:t>
      </w:r>
    </w:p>
    <w:p w:rsidR="00D97487" w:rsidRPr="00DB6B36" w:rsidRDefault="00D97487" w:rsidP="00D97487">
      <w:pPr>
        <w:pStyle w:val="Heading2"/>
      </w:pPr>
      <w:r>
        <w:rPr>
          <w:rStyle w:val="Heading2"/>
        </w:rPr>
        <w:t>Arrangements de transfert</w:t>
      </w:r>
    </w:p>
    <w:p w:rsidR="00D97487" w:rsidRPr="001A26D4" w:rsidRDefault="00D97487" w:rsidP="00D97487">
      <w:pPr>
        <w:pStyle w:val="Heading2"/>
        <w:rPr>
          <w:b w:val="0"/>
        </w:rPr>
      </w:pPr>
      <w:r>
        <w:rPr>
          <w:rStyle w:val="Heading2"/>
          <w:b w:val="0"/>
        </w:rPr>
        <w:t>Les tâches actuellement assurées par l</w:t>
      </w:r>
      <w:r>
        <w:rPr>
          <w:rStyle w:val="Heading2"/>
          <w:rFonts w:cs="Century Gothic"/>
          <w:b w:val="0"/>
          <w:cs/>
        </w:rPr>
        <w:t>’</w:t>
      </w:r>
      <w:r>
        <w:rPr>
          <w:rStyle w:val="Heading2"/>
          <w:b w:val="0"/>
        </w:rPr>
        <w:t>ACIG au niveau 1,0 FTE sont énumérées à l</w:t>
      </w:r>
      <w:r>
        <w:rPr>
          <w:rStyle w:val="Heading2"/>
          <w:rFonts w:cs="Century Gothic"/>
          <w:b w:val="0"/>
          <w:cs/>
        </w:rPr>
        <w:t>’</w:t>
      </w:r>
      <w:r>
        <w:rPr>
          <w:rStyle w:val="Heading2"/>
          <w:b w:val="0"/>
        </w:rPr>
        <w:t>annexe 1.</w:t>
      </w:r>
    </w:p>
    <w:p w:rsidR="00D97487" w:rsidRPr="001A26D4" w:rsidRDefault="00D97487" w:rsidP="00D97487">
      <w:pPr>
        <w:pStyle w:val="Heading2"/>
        <w:rPr>
          <w:b w:val="0"/>
        </w:rPr>
      </w:pPr>
      <w:r>
        <w:rPr>
          <w:rStyle w:val="Heading2"/>
          <w:b w:val="0"/>
        </w:rPr>
        <w:t>Il est hautement souhaitable que le transfert de ces fonctions ait lieu avant, et durant, la réunion ICANN 63, à Barcelone. Il semble peu probable qu</w:t>
      </w:r>
      <w:r>
        <w:rPr>
          <w:rStyle w:val="Heading2"/>
          <w:rFonts w:cs="Century Gothic"/>
          <w:b w:val="0"/>
          <w:cs/>
        </w:rPr>
        <w:t>’</w:t>
      </w:r>
      <w:r>
        <w:rPr>
          <w:rStyle w:val="Heading2"/>
          <w:b w:val="0"/>
        </w:rPr>
        <w:t>un nouveau secrétariat indépendant soit en place d</w:t>
      </w:r>
      <w:r>
        <w:rPr>
          <w:rStyle w:val="Heading2"/>
          <w:rFonts w:cs="Century Gothic"/>
          <w:b w:val="0"/>
          <w:cs/>
        </w:rPr>
        <w:t>’</w:t>
      </w:r>
      <w:r>
        <w:rPr>
          <w:rStyle w:val="Heading2"/>
          <w:b w:val="0"/>
        </w:rPr>
        <w:t xml:space="preserve">ici là. </w:t>
      </w:r>
    </w:p>
    <w:p w:rsidR="00D97487" w:rsidRPr="001A26D4" w:rsidRDefault="00D97487" w:rsidP="00D97487">
      <w:pPr>
        <w:pStyle w:val="Heading2"/>
        <w:rPr>
          <w:b w:val="0"/>
        </w:rPr>
      </w:pPr>
      <w:r>
        <w:rPr>
          <w:rStyle w:val="Heading2"/>
          <w:b w:val="0"/>
        </w:rPr>
        <w:t>L</w:t>
      </w:r>
      <w:r>
        <w:rPr>
          <w:rStyle w:val="Heading2"/>
          <w:rFonts w:cs="Century Gothic"/>
          <w:b w:val="0"/>
          <w:cs/>
        </w:rPr>
        <w:t>’</w:t>
      </w:r>
      <w:r>
        <w:rPr>
          <w:rStyle w:val="Heading2"/>
          <w:b w:val="0"/>
        </w:rPr>
        <w:t>organisation ICANN aura besoin d</w:t>
      </w:r>
      <w:r>
        <w:rPr>
          <w:rStyle w:val="Heading2"/>
          <w:rFonts w:cs="Century Gothic"/>
          <w:b w:val="0"/>
          <w:cs/>
        </w:rPr>
        <w:t>’</w:t>
      </w:r>
      <w:r>
        <w:rPr>
          <w:rStyle w:val="Heading2"/>
          <w:b w:val="0"/>
        </w:rPr>
        <w:t>un préavis raisonnable si le GAC souhaite que toutes ou certaines des fonctions actuelles de l</w:t>
      </w:r>
      <w:r>
        <w:rPr>
          <w:rStyle w:val="Heading2"/>
          <w:rFonts w:cs="Century Gothic"/>
          <w:b w:val="0"/>
          <w:cs/>
        </w:rPr>
        <w:t>’</w:t>
      </w:r>
      <w:r>
        <w:rPr>
          <w:rStyle w:val="Heading2"/>
          <w:b w:val="0"/>
        </w:rPr>
        <w:t>ACIG soient assumées par le personnel de l</w:t>
      </w:r>
      <w:r>
        <w:rPr>
          <w:rStyle w:val="Heading2"/>
          <w:rFonts w:cs="Century Gothic"/>
          <w:b w:val="0"/>
          <w:cs/>
        </w:rPr>
        <w:t>’</w:t>
      </w:r>
      <w:r>
        <w:rPr>
          <w:rStyle w:val="Heading2"/>
          <w:b w:val="0"/>
        </w:rPr>
        <w:t>ICANN, même à titre provisoire, car cela aura des répercussions évidentes sur les ressources.</w:t>
      </w:r>
    </w:p>
    <w:p w:rsidR="00D97487" w:rsidRPr="0007611F" w:rsidRDefault="00D97487" w:rsidP="00D97487">
      <w:pPr>
        <w:pStyle w:val="Heading2"/>
      </w:pPr>
      <w:r>
        <w:rPr>
          <w:rStyle w:val="Heading2"/>
        </w:rPr>
        <w:t>Informations complémentaires</w:t>
      </w:r>
    </w:p>
    <w:p w:rsidR="00D97487" w:rsidRPr="001A26D4" w:rsidRDefault="00D97487" w:rsidP="00D97487">
      <w:pPr>
        <w:pStyle w:val="Heading2"/>
      </w:pPr>
      <w:r>
        <w:rPr>
          <w:rStyle w:val="Heading2"/>
        </w:rPr>
        <w:t xml:space="preserve">Procès-verbaux du travail du GAC à San Juan - </w:t>
      </w:r>
      <w:hyperlink r:id="rId7" w:history="1">
        <w:r>
          <w:rPr>
            <w:rStyle w:val="Hyperlink"/>
            <w:b w:val="0"/>
          </w:rPr>
          <w:t>https://gac.icann.org/minutes/icann61-meeting-gac-minutes</w:t>
        </w:r>
      </w:hyperlink>
    </w:p>
    <w:p w:rsidR="00D97487" w:rsidRDefault="00D97487" w:rsidP="00D97487">
      <w:pPr>
        <w:pStyle w:val="Heading2"/>
      </w:pPr>
    </w:p>
    <w:p w:rsidR="00D97487" w:rsidRDefault="00D97487" w:rsidP="00D97487">
      <w:pPr>
        <w:pStyle w:val="Heading2"/>
      </w:pPr>
    </w:p>
    <w:p w:rsidR="00D97487" w:rsidRDefault="00D97487" w:rsidP="00D97487">
      <w:pPr>
        <w:pStyle w:val="Heading2"/>
      </w:pPr>
    </w:p>
    <w:p w:rsidR="00D97487" w:rsidRDefault="00D97487" w:rsidP="00D97487">
      <w:pPr>
        <w:pStyle w:val="Heading2"/>
      </w:pPr>
    </w:p>
    <w:p w:rsidR="00D97487" w:rsidRPr="006009CA" w:rsidRDefault="00D97487" w:rsidP="00D97487">
      <w:pPr>
        <w:pStyle w:val="Heading2"/>
        <w:rPr>
          <w:color w:val="4472C4"/>
          <w:sz w:val="28"/>
          <w:szCs w:val="28"/>
        </w:rPr>
      </w:pPr>
      <w:r>
        <w:rPr>
          <w:rStyle w:val="Heading2"/>
          <w:color w:val="4472C4"/>
          <w:sz w:val="28"/>
        </w:rPr>
        <w:t xml:space="preserve">B. Problématique : principes opérationnels du GAC </w:t>
      </w:r>
    </w:p>
    <w:p w:rsidR="00D97487" w:rsidRDefault="00D97487" w:rsidP="00D97487">
      <w:pPr>
        <w:pStyle w:val="BodyText"/>
        <w:spacing w:after="240" w:line="276" w:lineRule="auto"/>
        <w:rPr>
          <w:rFonts w:ascii="Century Gothic" w:hAnsi="Century Gothic"/>
        </w:rPr>
      </w:pPr>
      <w:r>
        <w:rPr>
          <w:rStyle w:val="BodyText"/>
          <w:rFonts w:ascii="Century Gothic" w:hAnsi="Century Gothic"/>
        </w:rPr>
        <w:t>L</w:t>
      </w:r>
      <w:r>
        <w:rPr>
          <w:rStyle w:val="BodyText"/>
          <w:rFonts w:ascii="Century Gothic" w:hAnsi="Century Gothic" w:cs="Century Gothic"/>
          <w:cs/>
        </w:rPr>
        <w:t>’</w:t>
      </w:r>
      <w:r>
        <w:rPr>
          <w:rStyle w:val="BodyText"/>
          <w:rFonts w:ascii="Century Gothic" w:hAnsi="Century Gothic"/>
        </w:rPr>
        <w:t>évolution de la communauté de l</w:t>
      </w:r>
      <w:r>
        <w:rPr>
          <w:rStyle w:val="BodyText"/>
          <w:rFonts w:ascii="Century Gothic" w:hAnsi="Century Gothic" w:cs="Century Gothic"/>
          <w:cs/>
        </w:rPr>
        <w:t>’</w:t>
      </w:r>
      <w:r>
        <w:rPr>
          <w:rStyle w:val="BodyText"/>
          <w:rFonts w:ascii="Century Gothic" w:hAnsi="Century Gothic"/>
        </w:rPr>
        <w:t>ICANN à un rôle plus « habilité » après la transition de l</w:t>
      </w:r>
      <w:r>
        <w:rPr>
          <w:rStyle w:val="BodyText"/>
          <w:rFonts w:ascii="Century Gothic" w:hAnsi="Century Gothic" w:cs="Century Gothic"/>
          <w:cs/>
        </w:rPr>
        <w:t>’</w:t>
      </w:r>
      <w:r>
        <w:rPr>
          <w:rStyle w:val="BodyText"/>
          <w:rFonts w:ascii="Century Gothic" w:hAnsi="Century Gothic"/>
        </w:rPr>
        <w:t>IANA a poussé les organisations de soutien et les comités consultatifs de l</w:t>
      </w:r>
      <w:r>
        <w:rPr>
          <w:rStyle w:val="BodyText"/>
          <w:rFonts w:ascii="Century Gothic" w:hAnsi="Century Gothic" w:cs="Century Gothic"/>
          <w:cs/>
        </w:rPr>
        <w:t>’</w:t>
      </w:r>
      <w:r>
        <w:rPr>
          <w:rStyle w:val="BodyText"/>
          <w:rFonts w:ascii="Century Gothic" w:hAnsi="Century Gothic"/>
        </w:rPr>
        <w:t xml:space="preserve">ICANN (y compris le GAC) à examiner leurs principes </w:t>
      </w:r>
      <w:r>
        <w:rPr>
          <w:rStyle w:val="BodyText"/>
          <w:rFonts w:ascii="Century Gothic" w:hAnsi="Century Gothic"/>
        </w:rPr>
        <w:lastRenderedPageBreak/>
        <w:t>opérationnels et d</w:t>
      </w:r>
      <w:r>
        <w:rPr>
          <w:rStyle w:val="BodyText"/>
          <w:rFonts w:ascii="Century Gothic" w:hAnsi="Century Gothic" w:cs="Century Gothic"/>
          <w:cs/>
        </w:rPr>
        <w:t>’</w:t>
      </w:r>
      <w:r>
        <w:rPr>
          <w:rStyle w:val="BodyText"/>
          <w:rFonts w:ascii="Century Gothic" w:hAnsi="Century Gothic"/>
        </w:rPr>
        <w:t>autres processus pour évaluer s</w:t>
      </w:r>
      <w:r>
        <w:rPr>
          <w:rStyle w:val="BodyText"/>
          <w:rFonts w:ascii="Century Gothic" w:hAnsi="Century Gothic" w:cs="Century Gothic"/>
          <w:cs/>
        </w:rPr>
        <w:t>’</w:t>
      </w:r>
      <w:r>
        <w:rPr>
          <w:rStyle w:val="BodyText"/>
          <w:rFonts w:ascii="Century Gothic" w:hAnsi="Century Gothic"/>
        </w:rPr>
        <w:t>ils sont « en forme » dans cette nouvelle structure de communauté habilitée.</w:t>
      </w:r>
    </w:p>
    <w:p w:rsidR="00D97487" w:rsidRDefault="00D97487" w:rsidP="00D97487">
      <w:pPr>
        <w:pStyle w:val="BodyText"/>
        <w:spacing w:after="240" w:line="276" w:lineRule="auto"/>
        <w:rPr>
          <w:rFonts w:ascii="Century Gothic" w:hAnsi="Century Gothic"/>
        </w:rPr>
      </w:pPr>
      <w:r>
        <w:rPr>
          <w:rStyle w:val="BodyText"/>
          <w:rFonts w:ascii="Century Gothic" w:hAnsi="Century Gothic"/>
        </w:rPr>
        <w:t xml:space="preserve">Au cours des dernières années, le GAC a fait des efforts ciblés visant à mettre à jour ses 54 principes opérationnels suivant les besoins, mais les principes actuels ne sont pas alignés avec une structure organisationnelle exhaustive </w:t>
      </w:r>
      <w:r>
        <w:rPr>
          <w:rStyle w:val="BodyText"/>
          <w:rFonts w:ascii="Century Gothic" w:hAnsi="Century Gothic" w:cs="Century Gothic"/>
          <w:cs/>
        </w:rPr>
        <w:t xml:space="preserve">– </w:t>
      </w:r>
      <w:r>
        <w:rPr>
          <w:rStyle w:val="BodyText"/>
          <w:rFonts w:ascii="Century Gothic" w:hAnsi="Century Gothic"/>
        </w:rPr>
        <w:t>ils reflètent une liste générale de principes.</w:t>
      </w:r>
    </w:p>
    <w:p w:rsidR="00D97487" w:rsidRPr="00492172" w:rsidRDefault="00D97487" w:rsidP="00D97487">
      <w:pPr>
        <w:pStyle w:val="BodyText"/>
        <w:spacing w:after="240" w:line="276" w:lineRule="auto"/>
        <w:rPr>
          <w:rFonts w:ascii="Century Gothic" w:hAnsi="Century Gothic"/>
        </w:rPr>
      </w:pPr>
      <w:r>
        <w:rPr>
          <w:rStyle w:val="BodyText"/>
          <w:rFonts w:ascii="Century Gothic" w:hAnsi="Century Gothic"/>
        </w:rPr>
        <w:t>Les changements récents apportés aux principes opérationnels du GAC sont plutôt tactiques, c</w:t>
      </w:r>
      <w:r>
        <w:rPr>
          <w:rStyle w:val="BodyText"/>
          <w:rFonts w:ascii="Century Gothic" w:hAnsi="Century Gothic" w:cs="Century Gothic"/>
          <w:cs/>
        </w:rPr>
        <w:t>’</w:t>
      </w:r>
      <w:r>
        <w:rPr>
          <w:rStyle w:val="BodyText"/>
          <w:rFonts w:ascii="Century Gothic" w:hAnsi="Century Gothic"/>
        </w:rPr>
        <w:t>est-à-dire correctement ciblés sur les besoins à court terme. Mais à mesure que la charge de travail de la communauté augmente, le rythme de travail à l</w:t>
      </w:r>
      <w:r>
        <w:rPr>
          <w:rStyle w:val="BodyText"/>
          <w:rFonts w:ascii="Century Gothic" w:hAnsi="Century Gothic" w:cs="Century Gothic"/>
          <w:cs/>
        </w:rPr>
        <w:t>’</w:t>
      </w:r>
      <w:r>
        <w:rPr>
          <w:rStyle w:val="BodyText"/>
          <w:rFonts w:ascii="Century Gothic" w:hAnsi="Century Gothic"/>
        </w:rPr>
        <w:t>ICANN s</w:t>
      </w:r>
      <w:r>
        <w:rPr>
          <w:rStyle w:val="BodyText"/>
          <w:rFonts w:ascii="Century Gothic" w:hAnsi="Century Gothic" w:cs="Century Gothic"/>
          <w:cs/>
        </w:rPr>
        <w:t>’</w:t>
      </w:r>
      <w:r>
        <w:rPr>
          <w:rStyle w:val="BodyText"/>
          <w:rFonts w:ascii="Century Gothic" w:hAnsi="Century Gothic"/>
        </w:rPr>
        <w:t>accélère et les participants de la communauté sont de plus en plus chargés et l</w:t>
      </w:r>
      <w:r>
        <w:rPr>
          <w:rStyle w:val="BodyText"/>
          <w:rFonts w:ascii="Century Gothic" w:hAnsi="Century Gothic" w:cs="Century Gothic"/>
          <w:cs/>
        </w:rPr>
        <w:t>’</w:t>
      </w:r>
      <w:r>
        <w:rPr>
          <w:rStyle w:val="BodyText"/>
          <w:rFonts w:ascii="Century Gothic" w:hAnsi="Century Gothic"/>
        </w:rPr>
        <w:t>absence d</w:t>
      </w:r>
      <w:r>
        <w:rPr>
          <w:rStyle w:val="BodyText"/>
          <w:rFonts w:ascii="Century Gothic" w:hAnsi="Century Gothic" w:cs="Century Gothic"/>
          <w:cs/>
        </w:rPr>
        <w:t>’</w:t>
      </w:r>
      <w:r>
        <w:rPr>
          <w:rStyle w:val="BodyText"/>
          <w:rFonts w:ascii="Century Gothic" w:hAnsi="Century Gothic"/>
        </w:rPr>
        <w:t>une structure générale montre les défaillances des processus et les lacunes procédurales des principes tels que structurés actuellement. Dans le format actuel des principes opérationnels du GAC il est difficile de suivre certains processus, voire même que certains membres du comité puissent trouver des processus appropriés pour leur travail.</w:t>
      </w:r>
    </w:p>
    <w:p w:rsidR="00D97487" w:rsidRDefault="00D97487" w:rsidP="00D97487">
      <w:pPr>
        <w:pStyle w:val="BodyText"/>
        <w:spacing w:after="240" w:line="276" w:lineRule="auto"/>
        <w:rPr>
          <w:rFonts w:ascii="Century Gothic" w:hAnsi="Century Gothic"/>
        </w:rPr>
      </w:pPr>
      <w:r>
        <w:rPr>
          <w:rStyle w:val="BodyText"/>
          <w:rFonts w:ascii="Century Gothic" w:hAnsi="Century Gothic"/>
        </w:rPr>
        <w:t>Une nouvelle structure pour les principes opérationnels du GAC a été adoptée en 2017 et le GAC entre dans l</w:t>
      </w:r>
      <w:r>
        <w:rPr>
          <w:rStyle w:val="BodyText"/>
          <w:rFonts w:ascii="Century Gothic" w:hAnsi="Century Gothic" w:cs="Century Gothic"/>
          <w:cs/>
        </w:rPr>
        <w:t>’</w:t>
      </w:r>
      <w:r>
        <w:rPr>
          <w:rStyle w:val="BodyText"/>
          <w:rFonts w:ascii="Century Gothic" w:hAnsi="Century Gothic"/>
        </w:rPr>
        <w:t>étape suivante de ce travail.</w:t>
      </w:r>
    </w:p>
    <w:p w:rsidR="00D97487" w:rsidRPr="00BC6D1B" w:rsidRDefault="00D97487" w:rsidP="00D97487">
      <w:pPr>
        <w:pStyle w:val="BodyText"/>
        <w:spacing w:after="240" w:line="276" w:lineRule="auto"/>
        <w:rPr>
          <w:rFonts w:ascii="Century Gothic" w:hAnsi="Century Gothic"/>
        </w:rPr>
      </w:pPr>
      <w:r>
        <w:rPr>
          <w:rStyle w:val="BodyText"/>
          <w:rFonts w:ascii="Century Gothic" w:hAnsi="Century Gothic"/>
        </w:rPr>
        <w:t>Une fois complétée, la nouvelle structure de principes opérationnels qui « remplit les lacunes » ayant été identifiées et qui seront identifiées à l</w:t>
      </w:r>
      <w:r>
        <w:rPr>
          <w:rStyle w:val="BodyText"/>
          <w:rFonts w:ascii="Century Gothic" w:hAnsi="Century Gothic" w:cs="Century Gothic"/>
          <w:cs/>
        </w:rPr>
        <w:t>’</w:t>
      </w:r>
      <w:r>
        <w:rPr>
          <w:rStyle w:val="BodyText"/>
          <w:rFonts w:ascii="Century Gothic" w:hAnsi="Century Gothic"/>
        </w:rPr>
        <w:t>avenir offrira une continuité organisationnelle, de la clarté pour les nouveaux participants, un moyen d</w:t>
      </w:r>
      <w:r>
        <w:rPr>
          <w:rStyle w:val="BodyText"/>
          <w:rFonts w:ascii="Century Gothic" w:hAnsi="Century Gothic" w:cs="Century Gothic"/>
          <w:cs/>
        </w:rPr>
        <w:t>’</w:t>
      </w:r>
      <w:r>
        <w:rPr>
          <w:rStyle w:val="BodyText"/>
          <w:rFonts w:ascii="Century Gothic" w:hAnsi="Century Gothic"/>
        </w:rPr>
        <w:t>aider le comité à respecter les nouvelles responsabilités organisationnelles et aidera le GAC à fonctionner plus efficacement grâce à sa structure de communauté pleinement habilitée dans le nouvel environnement de l</w:t>
      </w:r>
      <w:r>
        <w:rPr>
          <w:rStyle w:val="BodyText"/>
          <w:rFonts w:ascii="Century Gothic" w:hAnsi="Century Gothic" w:cs="Century Gothic"/>
          <w:cs/>
        </w:rPr>
        <w:t>’</w:t>
      </w:r>
      <w:r>
        <w:rPr>
          <w:rStyle w:val="BodyText"/>
          <w:rFonts w:ascii="Century Gothic" w:hAnsi="Century Gothic"/>
        </w:rPr>
        <w:t>ICANN.</w:t>
      </w:r>
    </w:p>
    <w:p w:rsidR="00D97487" w:rsidRPr="001A26D4" w:rsidRDefault="00D97487" w:rsidP="00D97487">
      <w:pPr>
        <w:pStyle w:val="Heading2"/>
      </w:pPr>
      <w:r>
        <w:rPr>
          <w:rStyle w:val="Heading2"/>
        </w:rPr>
        <w:t>Actions requises de la part du GAC</w:t>
      </w:r>
    </w:p>
    <w:p w:rsidR="00D97487" w:rsidRPr="00DB6B36" w:rsidRDefault="00D97487" w:rsidP="00D97487">
      <w:pPr>
        <w:pStyle w:val="BodyText"/>
        <w:spacing w:line="276" w:lineRule="auto"/>
        <w:rPr>
          <w:rFonts w:ascii="Century Gothic" w:hAnsi="Century Gothic"/>
        </w:rPr>
      </w:pPr>
      <w:r>
        <w:rPr>
          <w:rStyle w:val="BodyText"/>
          <w:rFonts w:ascii="Century Gothic" w:hAnsi="Century Gothic"/>
        </w:rPr>
        <w:t>Une nouvelle structure pour les principes opérationnels du GAC a été proposée il y a un an. Conformément à la discussion du GAC lors de la réunion ICANN 60 à Abou Dhabi, d</w:t>
      </w:r>
      <w:r>
        <w:rPr>
          <w:rStyle w:val="BodyText"/>
          <w:rFonts w:ascii="Century Gothic" w:hAnsi="Century Gothic" w:cs="Century Gothic"/>
          <w:cs/>
        </w:rPr>
        <w:t>’</w:t>
      </w:r>
      <w:r>
        <w:rPr>
          <w:rStyle w:val="BodyText"/>
          <w:rFonts w:ascii="Century Gothic" w:hAnsi="Century Gothic"/>
        </w:rPr>
        <w:t>autres discussions du GAC seront nécessaires pour définir une approche claire permettant d</w:t>
      </w:r>
      <w:r>
        <w:rPr>
          <w:rStyle w:val="BodyText"/>
          <w:rFonts w:ascii="Century Gothic" w:hAnsi="Century Gothic" w:cs="Century Gothic"/>
          <w:cs/>
        </w:rPr>
        <w:t>’</w:t>
      </w:r>
      <w:r>
        <w:rPr>
          <w:rStyle w:val="BodyText"/>
          <w:rFonts w:ascii="Century Gothic" w:hAnsi="Century Gothic"/>
        </w:rPr>
        <w:t>aborder la nouvelle structure proposée et prendre le temps d</w:t>
      </w:r>
      <w:r>
        <w:rPr>
          <w:rStyle w:val="BodyText"/>
          <w:rFonts w:ascii="Century Gothic" w:hAnsi="Century Gothic" w:cs="Century Gothic"/>
          <w:cs/>
        </w:rPr>
        <w:t>’</w:t>
      </w:r>
      <w:r>
        <w:rPr>
          <w:rStyle w:val="BodyText"/>
          <w:rFonts w:ascii="Century Gothic" w:hAnsi="Century Gothic"/>
        </w:rPr>
        <w:t>examiner et d</w:t>
      </w:r>
      <w:r>
        <w:rPr>
          <w:rStyle w:val="BodyText"/>
          <w:rFonts w:ascii="Century Gothic" w:hAnsi="Century Gothic" w:cs="Century Gothic"/>
          <w:cs/>
        </w:rPr>
        <w:t>’</w:t>
      </w:r>
      <w:r>
        <w:rPr>
          <w:rStyle w:val="BodyText"/>
          <w:rFonts w:ascii="Century Gothic" w:hAnsi="Century Gothic"/>
        </w:rPr>
        <w:t>évaluer de nouveaux processus opérationnels de manière ordonnée. Lors de la réunion ICANN 61, le comité examinera des options pour faire progresser ces travaux.</w:t>
      </w:r>
    </w:p>
    <w:p w:rsidR="00D97487" w:rsidRDefault="00D97487" w:rsidP="00D97487">
      <w:pPr>
        <w:pStyle w:val="Heading2"/>
      </w:pPr>
      <w:r>
        <w:rPr>
          <w:rStyle w:val="Heading2"/>
        </w:rPr>
        <w:lastRenderedPageBreak/>
        <w:t>Statut actuel de ce sujet</w:t>
      </w:r>
    </w:p>
    <w:p w:rsidR="00D97487" w:rsidRDefault="00D97487" w:rsidP="00D97487">
      <w:pPr>
        <w:pStyle w:val="BodyText"/>
        <w:spacing w:after="240" w:line="276" w:lineRule="auto"/>
        <w:rPr>
          <w:rFonts w:ascii="Century Gothic" w:hAnsi="Century Gothic"/>
        </w:rPr>
      </w:pPr>
      <w:r>
        <w:rPr>
          <w:rStyle w:val="BodyText"/>
          <w:rFonts w:ascii="Century Gothic" w:hAnsi="Century Gothic"/>
        </w:rPr>
        <w:t>Au cours de la réunion ICANN 61 à San Juan, les membres du GAC ont entendu un résumé des dernières recommandations potentielles sur la façon d</w:t>
      </w:r>
      <w:r>
        <w:rPr>
          <w:rStyle w:val="BodyText"/>
          <w:rFonts w:ascii="Century Gothic" w:hAnsi="Century Gothic" w:cs="Century Gothic"/>
          <w:cs/>
        </w:rPr>
        <w:t>’</w:t>
      </w:r>
      <w:r>
        <w:rPr>
          <w:rStyle w:val="BodyText"/>
          <w:rFonts w:ascii="Century Gothic" w:hAnsi="Century Gothic"/>
        </w:rPr>
        <w:t>aborder l</w:t>
      </w:r>
      <w:r>
        <w:rPr>
          <w:rStyle w:val="BodyText"/>
          <w:rFonts w:ascii="Century Gothic" w:hAnsi="Century Gothic" w:cs="Century Gothic"/>
          <w:cs/>
        </w:rPr>
        <w:t>’</w:t>
      </w:r>
      <w:r>
        <w:rPr>
          <w:rStyle w:val="BodyText"/>
          <w:rFonts w:ascii="Century Gothic" w:hAnsi="Century Gothic"/>
        </w:rPr>
        <w:t>évolution des principes opérationnels du GAC d</w:t>
      </w:r>
      <w:r>
        <w:rPr>
          <w:rStyle w:val="BodyText"/>
          <w:rFonts w:ascii="Century Gothic" w:hAnsi="Century Gothic" w:cs="Century Gothic"/>
          <w:cs/>
        </w:rPr>
        <w:t>’</w:t>
      </w:r>
      <w:r>
        <w:rPr>
          <w:rStyle w:val="BodyText"/>
          <w:rFonts w:ascii="Century Gothic" w:hAnsi="Century Gothic"/>
        </w:rPr>
        <w:t>une manière exhaustive et ordonnée : aider le comité à se concentrer sur les questions prioritaires en premier et puis aller de l</w:t>
      </w:r>
      <w:r>
        <w:rPr>
          <w:rStyle w:val="BodyText"/>
          <w:rFonts w:ascii="Century Gothic" w:hAnsi="Century Gothic" w:cs="Century Gothic"/>
          <w:cs/>
        </w:rPr>
        <w:t>’</w:t>
      </w:r>
      <w:r>
        <w:rPr>
          <w:rStyle w:val="BodyText"/>
          <w:rFonts w:ascii="Century Gothic" w:hAnsi="Century Gothic"/>
        </w:rPr>
        <w:t>avant avec le travail à partir de ce point.</w:t>
      </w:r>
    </w:p>
    <w:p w:rsidR="00D97487" w:rsidRPr="000A353D" w:rsidRDefault="00D97487" w:rsidP="00D97487">
      <w:pPr>
        <w:pStyle w:val="BodyText"/>
        <w:spacing w:after="240" w:line="276" w:lineRule="auto"/>
        <w:rPr>
          <w:rFonts w:ascii="Century Gothic" w:hAnsi="Century Gothic"/>
        </w:rPr>
      </w:pPr>
      <w:r>
        <w:rPr>
          <w:rStyle w:val="BodyText"/>
          <w:rFonts w:ascii="Century Gothic" w:hAnsi="Century Gothic"/>
        </w:rPr>
        <w:t>Étant donnée la priorité de soutenir les efforts des groupes de travail du comité tout au long de l</w:t>
      </w:r>
      <w:r>
        <w:rPr>
          <w:rStyle w:val="BodyText"/>
          <w:rFonts w:ascii="Century Gothic" w:hAnsi="Century Gothic" w:cs="Century Gothic"/>
          <w:cs/>
        </w:rPr>
        <w:t>’</w:t>
      </w:r>
      <w:r>
        <w:rPr>
          <w:rStyle w:val="BodyText"/>
          <w:rFonts w:ascii="Century Gothic" w:hAnsi="Century Gothic"/>
        </w:rPr>
        <w:t>organisation ICANN, il a été déterminé que le meilleur domaine potentiel sur lequel se concentrer initialement serait celui des principes ayant une incidence sur les efforts des groupes de travail. Le leadership du GAC a assumé cette tâche et concentrera ses efforts sur ce domaine entre les réunions de Panama et de Barcelone, dans l</w:t>
      </w:r>
      <w:r>
        <w:rPr>
          <w:rStyle w:val="BodyText"/>
          <w:rFonts w:ascii="Century Gothic" w:hAnsi="Century Gothic" w:cs="Century Gothic"/>
          <w:cs/>
        </w:rPr>
        <w:t>’</w:t>
      </w:r>
      <w:r>
        <w:rPr>
          <w:rStyle w:val="BodyText"/>
          <w:rFonts w:ascii="Century Gothic" w:hAnsi="Century Gothic"/>
        </w:rPr>
        <w:t xml:space="preserve">espoir de pouvoir présenter quelques premières propositions de principes opérationnels proposés avant la réunion ICANN 63. </w:t>
      </w:r>
    </w:p>
    <w:p w:rsidR="00D97487" w:rsidRDefault="00D97487" w:rsidP="00D97487">
      <w:pPr>
        <w:pStyle w:val="Heading2"/>
      </w:pPr>
      <w:r>
        <w:rPr>
          <w:rStyle w:val="Heading2"/>
        </w:rPr>
        <w:t>Plus d</w:t>
      </w:r>
      <w:r>
        <w:rPr>
          <w:rStyle w:val="Heading2"/>
          <w:rFonts w:cs="Century Gothic"/>
          <w:cs/>
        </w:rPr>
        <w:t>’</w:t>
      </w:r>
      <w:r>
        <w:rPr>
          <w:rStyle w:val="Heading2"/>
        </w:rPr>
        <w:t>informations de contexte / Détails :</w:t>
      </w:r>
    </w:p>
    <w:p w:rsidR="00D97487" w:rsidRPr="00492172" w:rsidRDefault="00D97487" w:rsidP="00D97487">
      <w:pPr>
        <w:pStyle w:val="BodyText"/>
        <w:numPr>
          <w:ilvl w:val="0"/>
          <w:numId w:val="6"/>
        </w:numPr>
        <w:rPr>
          <w:rFonts w:ascii="Century Gothic" w:hAnsi="Century Gothic"/>
        </w:rPr>
      </w:pPr>
      <w:r>
        <w:rPr>
          <w:rStyle w:val="BodyText"/>
          <w:rFonts w:ascii="Century Gothic" w:hAnsi="Century Gothic"/>
        </w:rPr>
        <w:t>Le GAC définit ses propres principes opérationnels</w:t>
      </w:r>
    </w:p>
    <w:p w:rsidR="00D97487" w:rsidRPr="00492172" w:rsidRDefault="00D97487" w:rsidP="00D97487">
      <w:pPr>
        <w:pStyle w:val="BodyText"/>
        <w:numPr>
          <w:ilvl w:val="0"/>
          <w:numId w:val="6"/>
        </w:numPr>
        <w:rPr>
          <w:rFonts w:ascii="Century Gothic" w:hAnsi="Century Gothic"/>
        </w:rPr>
      </w:pPr>
      <w:r>
        <w:rPr>
          <w:rStyle w:val="BodyText"/>
          <w:rFonts w:ascii="Century Gothic" w:hAnsi="Century Gothic"/>
        </w:rPr>
        <w:t>Les premiers principes opérationnels du GAC ont été créés en 2004.</w:t>
      </w:r>
    </w:p>
    <w:p w:rsidR="00D97487" w:rsidRPr="00492172" w:rsidRDefault="00D97487" w:rsidP="00D97487">
      <w:pPr>
        <w:pStyle w:val="BodyText"/>
        <w:numPr>
          <w:ilvl w:val="0"/>
          <w:numId w:val="6"/>
        </w:numPr>
        <w:rPr>
          <w:rFonts w:ascii="Century Gothic" w:hAnsi="Century Gothic"/>
        </w:rPr>
      </w:pPr>
      <w:r>
        <w:rPr>
          <w:rStyle w:val="BodyText"/>
          <w:rFonts w:ascii="Century Gothic" w:hAnsi="Century Gothic"/>
        </w:rPr>
        <w:t xml:space="preserve">Les principes opérationnels actuels datent </w:t>
      </w:r>
      <w:r w:rsidR="004A03EB">
        <w:rPr>
          <w:rStyle w:val="BodyText"/>
          <w:rFonts w:ascii="Century Gothic" w:hAnsi="Century Gothic"/>
        </w:rPr>
        <w:t>de 2011</w:t>
      </w:r>
    </w:p>
    <w:p w:rsidR="00D97487" w:rsidRPr="00492172" w:rsidRDefault="00D97487" w:rsidP="00D97487">
      <w:pPr>
        <w:pStyle w:val="BodyText"/>
        <w:numPr>
          <w:ilvl w:val="0"/>
          <w:numId w:val="6"/>
        </w:numPr>
        <w:rPr>
          <w:rFonts w:ascii="Century Gothic" w:hAnsi="Century Gothic"/>
        </w:rPr>
      </w:pPr>
      <w:r>
        <w:rPr>
          <w:rStyle w:val="BodyText"/>
          <w:rFonts w:ascii="Century Gothic" w:hAnsi="Century Gothic"/>
        </w:rPr>
        <w:t>Depuis 2011, il y a eu plusieurs reprises différentes des initiatives de travail sur les principes opérationnels</w:t>
      </w:r>
    </w:p>
    <w:p w:rsidR="00D97487" w:rsidRPr="00492172" w:rsidRDefault="00D97487" w:rsidP="00D97487">
      <w:pPr>
        <w:pStyle w:val="BodyText"/>
        <w:numPr>
          <w:ilvl w:val="0"/>
          <w:numId w:val="6"/>
        </w:numPr>
        <w:rPr>
          <w:rFonts w:ascii="Century Gothic" w:hAnsi="Century Gothic"/>
        </w:rPr>
      </w:pPr>
      <w:r>
        <w:rPr>
          <w:rStyle w:val="BodyText"/>
          <w:rFonts w:ascii="Century Gothic" w:hAnsi="Century Gothic"/>
        </w:rPr>
        <w:t>Au cours des trois dernières années, il y a eu trois initiatives de modifications ciblées :</w:t>
      </w:r>
    </w:p>
    <w:p w:rsidR="00D97487" w:rsidRPr="00492172" w:rsidRDefault="00D97487" w:rsidP="00D97487">
      <w:pPr>
        <w:pStyle w:val="BodyText"/>
        <w:numPr>
          <w:ilvl w:val="1"/>
          <w:numId w:val="6"/>
        </w:numPr>
        <w:rPr>
          <w:rFonts w:ascii="Century Gothic" w:hAnsi="Century Gothic"/>
        </w:rPr>
      </w:pPr>
      <w:r>
        <w:rPr>
          <w:rStyle w:val="BodyText"/>
          <w:rFonts w:ascii="Century Gothic" w:hAnsi="Century Gothic"/>
        </w:rPr>
        <w:t xml:space="preserve">À Buenos Aires en 2015 pour permettre 5 vice-présidents </w:t>
      </w:r>
    </w:p>
    <w:p w:rsidR="00D97487" w:rsidRPr="00492172" w:rsidRDefault="00D97487" w:rsidP="00D97487">
      <w:pPr>
        <w:pStyle w:val="BodyText"/>
        <w:numPr>
          <w:ilvl w:val="1"/>
          <w:numId w:val="6"/>
        </w:numPr>
        <w:rPr>
          <w:rFonts w:ascii="Century Gothic" w:hAnsi="Century Gothic"/>
        </w:rPr>
      </w:pPr>
      <w:r>
        <w:rPr>
          <w:rStyle w:val="BodyText"/>
          <w:rFonts w:ascii="Century Gothic" w:hAnsi="Century Gothic"/>
        </w:rPr>
        <w:t>À Johannesbourg, en juin 2017, pour permettre le vote électronique</w:t>
      </w:r>
    </w:p>
    <w:p w:rsidR="00D97487" w:rsidRPr="00492172" w:rsidRDefault="00D97487" w:rsidP="00D97487">
      <w:pPr>
        <w:pStyle w:val="BodyText"/>
        <w:numPr>
          <w:ilvl w:val="1"/>
          <w:numId w:val="6"/>
        </w:numPr>
        <w:rPr>
          <w:rFonts w:ascii="Century Gothic" w:hAnsi="Century Gothic"/>
        </w:rPr>
      </w:pPr>
      <w:r>
        <w:rPr>
          <w:rStyle w:val="BodyText"/>
          <w:rFonts w:ascii="Century Gothic" w:hAnsi="Century Gothic"/>
        </w:rPr>
        <w:t>Proposition d</w:t>
      </w:r>
      <w:r>
        <w:rPr>
          <w:rStyle w:val="BodyText"/>
          <w:rFonts w:ascii="Century Gothic" w:hAnsi="Century Gothic" w:cs="Century Gothic"/>
          <w:cs/>
        </w:rPr>
        <w:t>’</w:t>
      </w:r>
      <w:r>
        <w:rPr>
          <w:rStyle w:val="BodyText"/>
          <w:rFonts w:ascii="Century Gothic" w:hAnsi="Century Gothic"/>
        </w:rPr>
        <w:t>une nouvelle structure, en mars 2017</w:t>
      </w:r>
    </w:p>
    <w:p w:rsidR="00D97487" w:rsidRPr="00492172" w:rsidRDefault="00D97487" w:rsidP="00D97487">
      <w:pPr>
        <w:pStyle w:val="BodyText"/>
        <w:numPr>
          <w:ilvl w:val="0"/>
          <w:numId w:val="6"/>
        </w:numPr>
        <w:rPr>
          <w:rFonts w:ascii="Century Gothic" w:hAnsi="Century Gothic"/>
        </w:rPr>
      </w:pPr>
      <w:r>
        <w:rPr>
          <w:rStyle w:val="BodyText"/>
          <w:rFonts w:ascii="Century Gothic" w:hAnsi="Century Gothic"/>
        </w:rPr>
        <w:t>Évaluation préliminaire d</w:t>
      </w:r>
      <w:r>
        <w:rPr>
          <w:rStyle w:val="BodyText"/>
          <w:rFonts w:ascii="Century Gothic" w:hAnsi="Century Gothic" w:cs="Century Gothic"/>
          <w:cs/>
        </w:rPr>
        <w:t>’</w:t>
      </w:r>
      <w:r>
        <w:rPr>
          <w:rStyle w:val="BodyText"/>
          <w:rFonts w:ascii="Century Gothic" w:hAnsi="Century Gothic"/>
        </w:rPr>
        <w:t>une nouvelle structure et d</w:t>
      </w:r>
      <w:r>
        <w:rPr>
          <w:rStyle w:val="BodyText"/>
          <w:rFonts w:ascii="Century Gothic" w:hAnsi="Century Gothic" w:cs="Century Gothic"/>
          <w:cs/>
        </w:rPr>
        <w:t>’</w:t>
      </w:r>
      <w:r>
        <w:rPr>
          <w:rStyle w:val="BodyText"/>
          <w:rFonts w:ascii="Century Gothic" w:hAnsi="Century Gothic"/>
        </w:rPr>
        <w:t>une nouvelle cartographie, en juillet 2017</w:t>
      </w:r>
    </w:p>
    <w:p w:rsidR="00D97487" w:rsidRDefault="00D97487" w:rsidP="00D97487">
      <w:pPr>
        <w:pStyle w:val="BodyText"/>
        <w:numPr>
          <w:ilvl w:val="0"/>
          <w:numId w:val="6"/>
        </w:numPr>
        <w:rPr>
          <w:rFonts w:ascii="Century Gothic" w:hAnsi="Century Gothic"/>
        </w:rPr>
      </w:pPr>
      <w:r>
        <w:rPr>
          <w:rStyle w:val="BodyText"/>
          <w:rFonts w:ascii="Century Gothic" w:hAnsi="Century Gothic"/>
        </w:rPr>
        <w:t xml:space="preserve">Discussion détaillée du GAC, à Abou Dhabi, en novembre 2017 </w:t>
      </w:r>
    </w:p>
    <w:p w:rsidR="00D97487" w:rsidRDefault="00D97487" w:rsidP="00D97487">
      <w:pPr>
        <w:pStyle w:val="BodyText"/>
        <w:numPr>
          <w:ilvl w:val="0"/>
          <w:numId w:val="6"/>
        </w:numPr>
        <w:rPr>
          <w:rFonts w:ascii="Century Gothic" w:hAnsi="Century Gothic"/>
        </w:rPr>
      </w:pPr>
      <w:r>
        <w:rPr>
          <w:rStyle w:val="BodyText"/>
          <w:rFonts w:ascii="Century Gothic" w:hAnsi="Century Gothic"/>
        </w:rPr>
        <w:t>Discussion détaillée du GAC, à San Juan, en mars 2018</w:t>
      </w:r>
    </w:p>
    <w:p w:rsidR="00D97487" w:rsidRDefault="00D97487">
      <w:pPr>
        <w:rPr>
          <w:rFonts w:ascii="Century Gothic" w:hAnsi="Century Gothic"/>
        </w:rPr>
      </w:pPr>
      <w:r>
        <w:br w:type="page"/>
      </w:r>
    </w:p>
    <w:p w:rsidR="00D97487" w:rsidRPr="006009CA" w:rsidRDefault="00D97487" w:rsidP="00D97487">
      <w:pPr>
        <w:pStyle w:val="Heading2"/>
        <w:rPr>
          <w:color w:val="4472C4"/>
          <w:sz w:val="28"/>
          <w:szCs w:val="28"/>
        </w:rPr>
      </w:pPr>
      <w:r>
        <w:rPr>
          <w:rStyle w:val="Heading2"/>
          <w:color w:val="4472C4"/>
          <w:sz w:val="28"/>
        </w:rPr>
        <w:t>C. Problématique : Élections du leadership du GAC / Période de nomination - 2018</w:t>
      </w:r>
    </w:p>
    <w:p w:rsidR="00D97487" w:rsidRPr="006009CA" w:rsidRDefault="00D97487" w:rsidP="00D97487">
      <w:pPr>
        <w:pStyle w:val="BodyText"/>
        <w:spacing w:line="276" w:lineRule="auto"/>
        <w:rPr>
          <w:rFonts w:ascii="Century Gothic" w:hAnsi="Century Gothic"/>
          <w:b/>
          <w:color w:val="000000"/>
          <w:sz w:val="28"/>
          <w:szCs w:val="28"/>
        </w:rPr>
      </w:pPr>
      <w:r>
        <w:rPr>
          <w:rStyle w:val="BodyText"/>
          <w:rFonts w:ascii="Century Gothic" w:hAnsi="Century Gothic"/>
          <w:b/>
          <w:color w:val="000000"/>
          <w:sz w:val="28"/>
        </w:rPr>
        <w:t>Contexte</w:t>
      </w:r>
    </w:p>
    <w:p w:rsidR="00D97487" w:rsidRPr="006009CA" w:rsidRDefault="00D97487" w:rsidP="00D97487">
      <w:pPr>
        <w:spacing w:line="276" w:lineRule="auto"/>
        <w:rPr>
          <w:rFonts w:ascii="Century Gothic" w:hAnsi="Century Gothic"/>
          <w:color w:val="000000"/>
          <w:shd w:val="clear" w:color="000000" w:fill="auto"/>
        </w:rPr>
      </w:pPr>
      <w:r>
        <w:rPr>
          <w:rStyle w:val="Normal"/>
          <w:rFonts w:ascii="Century Gothic" w:hAnsi="Century Gothic"/>
          <w:color w:val="000000"/>
        </w:rPr>
        <w:t>En 2018, la présidence du GAC et les 5 postes de vice-président s</w:t>
      </w:r>
      <w:r>
        <w:rPr>
          <w:rStyle w:val="Normal"/>
          <w:rFonts w:ascii="Century Gothic" w:hAnsi="Century Gothic" w:cs="Century Gothic"/>
          <w:color w:val="000000"/>
          <w:cs/>
        </w:rPr>
        <w:t>’</w:t>
      </w:r>
      <w:r>
        <w:rPr>
          <w:rStyle w:val="Normal"/>
          <w:rFonts w:ascii="Century Gothic" w:hAnsi="Century Gothic"/>
          <w:color w:val="000000"/>
        </w:rPr>
        <w:t>ouvrent à candidatures et élections potentielles.</w:t>
      </w:r>
    </w:p>
    <w:p w:rsidR="00D97487" w:rsidRPr="006009CA" w:rsidRDefault="00D97487" w:rsidP="00D97487">
      <w:pPr>
        <w:spacing w:line="276" w:lineRule="auto"/>
        <w:rPr>
          <w:rFonts w:ascii="Century Gothic" w:hAnsi="Century Gothic"/>
          <w:color w:val="000000"/>
          <w:shd w:val="clear" w:color="000000" w:fill="auto"/>
        </w:rPr>
      </w:pPr>
    </w:p>
    <w:p w:rsidR="00D97487" w:rsidRPr="006009CA" w:rsidRDefault="00D97487" w:rsidP="00D97487">
      <w:pPr>
        <w:spacing w:line="276" w:lineRule="auto"/>
        <w:rPr>
          <w:rFonts w:ascii="Century Gothic" w:hAnsi="Century Gothic"/>
          <w:color w:val="000000"/>
          <w:shd w:val="clear" w:color="000000" w:fill="auto"/>
        </w:rPr>
      </w:pPr>
      <w:r>
        <w:rPr>
          <w:rStyle w:val="Normal"/>
          <w:rFonts w:ascii="Century Gothic" w:hAnsi="Century Gothic"/>
        </w:rPr>
        <w:t>Les élections du président du GAC ont lieu tous les deux ans.  Selon les principes opérationnels du GAC, le président du GAC peut être élu pour deux mandats consécutifs de deux ans. Les élections des vice-présidents du GAC (jusqu</w:t>
      </w:r>
      <w:r>
        <w:rPr>
          <w:rStyle w:val="Normal"/>
          <w:rFonts w:ascii="Century Gothic" w:hAnsi="Century Gothic" w:cs="Century Gothic"/>
          <w:cs/>
        </w:rPr>
        <w:t>’</w:t>
      </w:r>
      <w:r>
        <w:rPr>
          <w:rStyle w:val="Normal"/>
          <w:rFonts w:ascii="Century Gothic" w:hAnsi="Century Gothic"/>
        </w:rPr>
        <w:t>à 5) ont lieu chaque année. Les vice-présidents peuvent être ré-élus ; cependant, personne ne peut être vice-président pour plus de deux mandats consécutifs.</w:t>
      </w:r>
      <w:r>
        <w:rPr>
          <w:rStyle w:val="Normal"/>
          <w:rFonts w:ascii="Century Gothic" w:hAnsi="Century Gothic"/>
          <w:color w:val="000000"/>
        </w:rPr>
        <w:t xml:space="preserve"> </w:t>
      </w:r>
    </w:p>
    <w:p w:rsidR="00D97487" w:rsidRPr="006009CA" w:rsidRDefault="00D97487" w:rsidP="00D97487">
      <w:pPr>
        <w:spacing w:line="276" w:lineRule="auto"/>
        <w:rPr>
          <w:rFonts w:ascii="Century Gothic" w:hAnsi="Century Gothic"/>
          <w:color w:val="000000"/>
          <w:shd w:val="clear" w:color="000000" w:fill="auto"/>
        </w:rPr>
      </w:pPr>
    </w:p>
    <w:p w:rsidR="00D97487" w:rsidRPr="006009CA" w:rsidRDefault="00D97487" w:rsidP="00D97487">
      <w:pPr>
        <w:spacing w:line="276" w:lineRule="auto"/>
        <w:rPr>
          <w:rFonts w:ascii="Century Gothic" w:hAnsi="Century Gothic"/>
          <w:b/>
          <w:color w:val="000000"/>
          <w:sz w:val="28"/>
          <w:szCs w:val="28"/>
        </w:rPr>
      </w:pPr>
      <w:r>
        <w:rPr>
          <w:rStyle w:val="Normal"/>
          <w:rFonts w:ascii="Century Gothic" w:hAnsi="Century Gothic"/>
          <w:b/>
          <w:color w:val="000000"/>
          <w:sz w:val="28"/>
        </w:rPr>
        <w:t>Nominations</w:t>
      </w:r>
    </w:p>
    <w:p w:rsidR="00D97487" w:rsidRPr="00114873" w:rsidRDefault="00D97487" w:rsidP="00D97487">
      <w:pPr>
        <w:spacing w:line="276" w:lineRule="auto"/>
        <w:rPr>
          <w:rFonts w:ascii="Century Gothic" w:hAnsi="Century Gothic"/>
          <w:u w:val="single"/>
        </w:rPr>
      </w:pPr>
      <w:r>
        <w:rPr>
          <w:rStyle w:val="Normal"/>
          <w:rFonts w:ascii="Century Gothic" w:hAnsi="Century Gothic"/>
          <w:u w:val="single"/>
        </w:rPr>
        <w:t xml:space="preserve">   </w:t>
      </w:r>
    </w:p>
    <w:p w:rsidR="00D97487" w:rsidRPr="006009CA" w:rsidRDefault="00D97487" w:rsidP="00D97487">
      <w:pPr>
        <w:pStyle w:val="ListParagraph"/>
        <w:numPr>
          <w:ilvl w:val="0"/>
          <w:numId w:val="14"/>
        </w:numPr>
        <w:spacing w:line="276" w:lineRule="auto"/>
        <w:ind w:left="360"/>
        <w:rPr>
          <w:rFonts w:ascii="Century Gothic" w:hAnsi="Century Gothic"/>
          <w:color w:val="000000"/>
          <w:shd w:val="clear" w:color="000000" w:fill="auto"/>
        </w:rPr>
      </w:pPr>
      <w:r>
        <w:rPr>
          <w:rStyle w:val="ListParagraph"/>
          <w:rFonts w:ascii="Century Gothic" w:hAnsi="Century Gothic"/>
          <w:color w:val="000000"/>
        </w:rPr>
        <w:t>La première étape dans le processus d</w:t>
      </w:r>
      <w:r>
        <w:rPr>
          <w:rStyle w:val="ListParagraph"/>
          <w:rFonts w:ascii="Century Gothic" w:hAnsi="Century Gothic" w:cs="Century Gothic"/>
          <w:color w:val="000000"/>
          <w:cs/>
        </w:rPr>
        <w:t>’</w:t>
      </w:r>
      <w:r>
        <w:rPr>
          <w:rStyle w:val="ListParagraph"/>
          <w:rFonts w:ascii="Century Gothic" w:hAnsi="Century Gothic"/>
          <w:color w:val="000000"/>
        </w:rPr>
        <w:t>élection est une période de nomination.</w:t>
      </w:r>
    </w:p>
    <w:p w:rsidR="00D97487" w:rsidRPr="006009CA" w:rsidRDefault="00D97487" w:rsidP="00D97487">
      <w:pPr>
        <w:spacing w:line="276" w:lineRule="auto"/>
        <w:rPr>
          <w:rFonts w:ascii="Century Gothic" w:hAnsi="Century Gothic"/>
          <w:color w:val="000000"/>
          <w:shd w:val="clear" w:color="000000" w:fill="auto"/>
        </w:rPr>
      </w:pPr>
    </w:p>
    <w:p w:rsidR="00D97487" w:rsidRPr="007718F3" w:rsidRDefault="00D97487" w:rsidP="00D97487">
      <w:pPr>
        <w:pStyle w:val="ListParagraph"/>
        <w:numPr>
          <w:ilvl w:val="0"/>
          <w:numId w:val="14"/>
        </w:numPr>
        <w:spacing w:line="276" w:lineRule="auto"/>
        <w:ind w:left="360"/>
        <w:rPr>
          <w:rFonts w:ascii="Century Gothic" w:hAnsi="Century Gothic"/>
        </w:rPr>
      </w:pPr>
      <w:r>
        <w:rPr>
          <w:rStyle w:val="ListParagraph"/>
          <w:rFonts w:ascii="Century Gothic" w:hAnsi="Century Gothic"/>
        </w:rPr>
        <w:t xml:space="preserve">Les candidats potentiels ne peuvent être nommés que durant la période de nomination, soit par auto-nomination ou par désignation par un tiers sur la liste de diffusion du GAC. </w:t>
      </w:r>
    </w:p>
    <w:p w:rsidR="00D97487" w:rsidRDefault="00D97487" w:rsidP="00D97487">
      <w:pPr>
        <w:spacing w:line="276" w:lineRule="auto"/>
        <w:rPr>
          <w:rFonts w:ascii="Century Gothic" w:hAnsi="Century Gothic"/>
        </w:rPr>
      </w:pPr>
    </w:p>
    <w:p w:rsidR="00D97487" w:rsidRPr="007718F3" w:rsidRDefault="00D97487" w:rsidP="00D97487">
      <w:pPr>
        <w:numPr>
          <w:ilvl w:val="0"/>
          <w:numId w:val="9"/>
        </w:numPr>
        <w:spacing w:line="276" w:lineRule="auto"/>
        <w:ind w:left="360"/>
        <w:rPr>
          <w:rFonts w:ascii="Century Gothic" w:hAnsi="Century Gothic"/>
        </w:rPr>
      </w:pPr>
      <w:r>
        <w:rPr>
          <w:rStyle w:val="Normal"/>
          <w:rFonts w:ascii="Century Gothic" w:hAnsi="Century Gothic"/>
        </w:rPr>
        <w:t>L</w:t>
      </w:r>
      <w:r>
        <w:rPr>
          <w:rStyle w:val="Normal"/>
          <w:rFonts w:ascii="Century Gothic" w:hAnsi="Century Gothic" w:cs="Century Gothic"/>
          <w:cs/>
        </w:rPr>
        <w:t>’</w:t>
      </w:r>
      <w:r>
        <w:rPr>
          <w:rStyle w:val="Normal"/>
          <w:rFonts w:ascii="Century Gothic" w:hAnsi="Century Gothic"/>
        </w:rPr>
        <w:t xml:space="preserve">auto-nomination et la nomination par un tiers doivent être soumises par e-mail à la liste de diffusion du GAC - </w:t>
      </w:r>
      <w:hyperlink r:id="rId8" w:history="1">
        <w:r>
          <w:rPr>
            <w:rStyle w:val="Hyperlink"/>
          </w:rPr>
          <w:t>gac@gac-icann.org</w:t>
        </w:r>
      </w:hyperlink>
      <w:r>
        <w:rPr>
          <w:rStyle w:val="Normal"/>
          <w:rFonts w:ascii="Century Gothic" w:hAnsi="Century Gothic"/>
        </w:rPr>
        <w:t>.  Un e-mail de nomination doit être clairement intitulé « candidature pour président » ou « candidature pour vice-président ». Les candidats potentiels ne peuvent être nommés qu</w:t>
      </w:r>
      <w:r>
        <w:rPr>
          <w:rStyle w:val="Normal"/>
          <w:rFonts w:ascii="Century Gothic" w:hAnsi="Century Gothic" w:cs="Century Gothic"/>
          <w:cs/>
        </w:rPr>
        <w:t>’</w:t>
      </w:r>
      <w:r>
        <w:rPr>
          <w:rStyle w:val="Normal"/>
          <w:rFonts w:ascii="Century Gothic" w:hAnsi="Century Gothic"/>
        </w:rPr>
        <w:t>au cours de la période de nomination.</w:t>
      </w:r>
    </w:p>
    <w:p w:rsidR="00D97487" w:rsidRPr="007718F3" w:rsidRDefault="00D97487" w:rsidP="00D97487">
      <w:pPr>
        <w:spacing w:line="276" w:lineRule="auto"/>
        <w:rPr>
          <w:rFonts w:ascii="Century Gothic" w:hAnsi="Century Gothic"/>
        </w:rPr>
      </w:pPr>
      <w:r>
        <w:rPr>
          <w:rStyle w:val="Normal"/>
          <w:rFonts w:ascii="Century Gothic" w:hAnsi="Century Gothic"/>
        </w:rPr>
        <w:t> </w:t>
      </w:r>
    </w:p>
    <w:p w:rsidR="00D97487" w:rsidRPr="007718F3" w:rsidRDefault="00D97487" w:rsidP="00D97487">
      <w:pPr>
        <w:numPr>
          <w:ilvl w:val="0"/>
          <w:numId w:val="10"/>
        </w:numPr>
        <w:spacing w:line="276" w:lineRule="auto"/>
        <w:ind w:left="360"/>
        <w:rPr>
          <w:rFonts w:ascii="Century Gothic" w:hAnsi="Century Gothic"/>
        </w:rPr>
      </w:pPr>
      <w:r>
        <w:rPr>
          <w:rStyle w:val="Normal"/>
          <w:rFonts w:ascii="Century Gothic" w:hAnsi="Century Gothic"/>
        </w:rPr>
        <w:t>Le personnel de soutien au GAC de l</w:t>
      </w:r>
      <w:r>
        <w:rPr>
          <w:rStyle w:val="Normal"/>
          <w:rFonts w:ascii="Century Gothic" w:hAnsi="Century Gothic" w:cs="Century Gothic"/>
          <w:cs/>
        </w:rPr>
        <w:t>’</w:t>
      </w:r>
      <w:r>
        <w:rPr>
          <w:rStyle w:val="Normal"/>
          <w:rFonts w:ascii="Century Gothic" w:hAnsi="Century Gothic"/>
        </w:rPr>
        <w:t>ICANN demandera aux personnes nommées par un tiers de confirmer leur acceptation de la nomination et de leur volonté de se présenter aux élections - le as échéant.  Les auto-nominations n</w:t>
      </w:r>
      <w:r>
        <w:rPr>
          <w:rStyle w:val="Normal"/>
          <w:rFonts w:ascii="Century Gothic" w:hAnsi="Century Gothic" w:cs="Century Gothic"/>
          <w:cs/>
        </w:rPr>
        <w:t>’</w:t>
      </w:r>
      <w:r>
        <w:rPr>
          <w:rStyle w:val="Normal"/>
          <w:rFonts w:ascii="Century Gothic" w:hAnsi="Century Gothic"/>
        </w:rPr>
        <w:t xml:space="preserve">exigent pas cette confirmation.  </w:t>
      </w:r>
    </w:p>
    <w:p w:rsidR="00D97487" w:rsidRPr="007718F3" w:rsidRDefault="00D97487" w:rsidP="00D97487">
      <w:pPr>
        <w:spacing w:line="276" w:lineRule="auto"/>
        <w:rPr>
          <w:rFonts w:ascii="Century Gothic" w:hAnsi="Century Gothic"/>
        </w:rPr>
      </w:pPr>
      <w:r>
        <w:rPr>
          <w:rStyle w:val="Normal"/>
          <w:rFonts w:ascii="Century Gothic" w:hAnsi="Century Gothic"/>
        </w:rPr>
        <w:t> </w:t>
      </w:r>
    </w:p>
    <w:p w:rsidR="00D97487" w:rsidRPr="007718F3" w:rsidRDefault="00D97487" w:rsidP="00D97487">
      <w:pPr>
        <w:numPr>
          <w:ilvl w:val="0"/>
          <w:numId w:val="11"/>
        </w:numPr>
        <w:spacing w:line="276" w:lineRule="auto"/>
        <w:ind w:left="360"/>
        <w:rPr>
          <w:rFonts w:ascii="Century Gothic" w:hAnsi="Century Gothic"/>
        </w:rPr>
      </w:pPr>
      <w:r>
        <w:rPr>
          <w:rStyle w:val="Normal"/>
          <w:rFonts w:ascii="Century Gothic" w:hAnsi="Century Gothic"/>
        </w:rPr>
        <w:lastRenderedPageBreak/>
        <w:t>Le personnel de soutien au GAC de l</w:t>
      </w:r>
      <w:r>
        <w:rPr>
          <w:rStyle w:val="Normal"/>
          <w:rFonts w:ascii="Century Gothic" w:hAnsi="Century Gothic" w:cs="Century Gothic"/>
          <w:cs/>
        </w:rPr>
        <w:t>’</w:t>
      </w:r>
      <w:r>
        <w:rPr>
          <w:rStyle w:val="Normal"/>
          <w:rFonts w:ascii="Century Gothic" w:hAnsi="Century Gothic"/>
        </w:rPr>
        <w:t xml:space="preserve">ICANN doit faire le suivi des nominations dans un document partagé sur le site Web du GAC. </w:t>
      </w:r>
    </w:p>
    <w:p w:rsidR="00D97487" w:rsidRPr="007718F3" w:rsidRDefault="00D97487" w:rsidP="00D97487">
      <w:pPr>
        <w:spacing w:line="276" w:lineRule="auto"/>
        <w:rPr>
          <w:rFonts w:ascii="Century Gothic" w:hAnsi="Century Gothic"/>
        </w:rPr>
      </w:pPr>
      <w:r>
        <w:rPr>
          <w:rStyle w:val="Normal"/>
          <w:rFonts w:ascii="Century Gothic" w:hAnsi="Century Gothic"/>
        </w:rPr>
        <w:t> </w:t>
      </w:r>
    </w:p>
    <w:p w:rsidR="00D97487" w:rsidRPr="007718F3" w:rsidRDefault="00D97487" w:rsidP="00D97487">
      <w:pPr>
        <w:numPr>
          <w:ilvl w:val="0"/>
          <w:numId w:val="12"/>
        </w:numPr>
        <w:spacing w:line="276" w:lineRule="auto"/>
        <w:ind w:left="360"/>
        <w:rPr>
          <w:rFonts w:ascii="Century Gothic" w:hAnsi="Century Gothic"/>
        </w:rPr>
      </w:pPr>
      <w:r>
        <w:rPr>
          <w:rStyle w:val="Normal"/>
          <w:rFonts w:ascii="Century Gothic" w:hAnsi="Century Gothic"/>
        </w:rPr>
        <w:t>L</w:t>
      </w:r>
      <w:r>
        <w:rPr>
          <w:rStyle w:val="Normal"/>
          <w:rFonts w:ascii="Century Gothic" w:hAnsi="Century Gothic" w:cs="Century Gothic"/>
          <w:cs/>
        </w:rPr>
        <w:t>’</w:t>
      </w:r>
      <w:r>
        <w:rPr>
          <w:rStyle w:val="Normal"/>
          <w:rFonts w:ascii="Century Gothic" w:hAnsi="Century Gothic"/>
        </w:rPr>
        <w:t>exigence d</w:t>
      </w:r>
      <w:r>
        <w:rPr>
          <w:rStyle w:val="Normal"/>
          <w:rFonts w:ascii="Century Gothic" w:hAnsi="Century Gothic" w:cs="Century Gothic"/>
          <w:cs/>
        </w:rPr>
        <w:t>’</w:t>
      </w:r>
      <w:r>
        <w:rPr>
          <w:rStyle w:val="Normal"/>
          <w:rFonts w:ascii="Century Gothic" w:hAnsi="Century Gothic"/>
        </w:rPr>
        <w:t>admissibilité énoncée au principe opérationnel du GAC nº22, qui dit que les candidats pour président et vice-présidents du GAC doivent être des « représentants accrédités », a dans la pratique été interprétée comme disant que les représentants principaux, les représentants suppléants et les conseillers des membres du GAC sont admissibles à la nomination et leur élection pour servir comme dirigeants du GAC.</w:t>
      </w:r>
    </w:p>
    <w:p w:rsidR="00D97487" w:rsidRPr="00114873" w:rsidRDefault="00D97487" w:rsidP="00D97487">
      <w:pPr>
        <w:spacing w:line="276" w:lineRule="auto"/>
        <w:rPr>
          <w:rFonts w:ascii="Century Gothic" w:hAnsi="Century Gothic"/>
        </w:rPr>
      </w:pPr>
      <w:r>
        <w:rPr>
          <w:rStyle w:val="Normal"/>
          <w:rFonts w:ascii="Century Gothic" w:hAnsi="Century Gothic"/>
        </w:rPr>
        <w:t>  </w:t>
      </w:r>
    </w:p>
    <w:p w:rsidR="00D97487" w:rsidRPr="006009CA" w:rsidRDefault="00D97487" w:rsidP="00D97487">
      <w:pPr>
        <w:spacing w:line="276" w:lineRule="auto"/>
        <w:rPr>
          <w:rFonts w:ascii="Century Gothic" w:hAnsi="Century Gothic"/>
          <w:b/>
          <w:color w:val="000000"/>
          <w:sz w:val="28"/>
          <w:szCs w:val="28"/>
        </w:rPr>
      </w:pPr>
      <w:r>
        <w:rPr>
          <w:rStyle w:val="Normal"/>
          <w:rFonts w:ascii="Century Gothic" w:hAnsi="Century Gothic"/>
          <w:b/>
          <w:color w:val="000000"/>
          <w:sz w:val="28"/>
        </w:rPr>
        <w:t>Période de nomination</w:t>
      </w:r>
    </w:p>
    <w:p w:rsidR="00D97487" w:rsidRPr="00114873" w:rsidRDefault="00D97487" w:rsidP="00D97487">
      <w:pPr>
        <w:spacing w:line="276" w:lineRule="auto"/>
        <w:rPr>
          <w:rFonts w:ascii="Century Gothic" w:hAnsi="Century Gothic"/>
          <w:u w:val="single"/>
        </w:rPr>
      </w:pPr>
    </w:p>
    <w:p w:rsidR="00D97487" w:rsidRPr="00114873" w:rsidRDefault="00D97487" w:rsidP="00D97487">
      <w:pPr>
        <w:spacing w:line="276" w:lineRule="auto"/>
        <w:rPr>
          <w:rFonts w:ascii="Century Gothic" w:hAnsi="Century Gothic"/>
        </w:rPr>
      </w:pPr>
      <w:r>
        <w:rPr>
          <w:rStyle w:val="Normal"/>
          <w:rFonts w:ascii="Century Gothic" w:hAnsi="Century Gothic"/>
        </w:rPr>
        <w:t>Selon le principe opérationnel du GAC nº33, la période de nomination commencera lors de la réunion du GAC préalable à la réunion de l</w:t>
      </w:r>
      <w:r>
        <w:rPr>
          <w:rStyle w:val="Normal"/>
          <w:rFonts w:ascii="Century Gothic" w:hAnsi="Century Gothic" w:cs="Century Gothic"/>
          <w:cs/>
        </w:rPr>
        <w:t>’</w:t>
      </w:r>
      <w:r>
        <w:rPr>
          <w:rStyle w:val="Normal"/>
          <w:rFonts w:ascii="Century Gothic" w:hAnsi="Century Gothic"/>
        </w:rPr>
        <w:t>élection et durera jusqu</w:t>
      </w:r>
      <w:r>
        <w:rPr>
          <w:rStyle w:val="Normal"/>
          <w:rFonts w:ascii="Century Gothic" w:hAnsi="Century Gothic" w:cs="Century Gothic"/>
          <w:cs/>
        </w:rPr>
        <w:t>’</w:t>
      </w:r>
      <w:r>
        <w:rPr>
          <w:rStyle w:val="Normal"/>
          <w:rFonts w:ascii="Century Gothic" w:hAnsi="Century Gothic"/>
        </w:rPr>
        <w:t>à près de 45 jours avant le début de la réunion de l</w:t>
      </w:r>
      <w:r>
        <w:rPr>
          <w:rStyle w:val="Normal"/>
          <w:rFonts w:ascii="Century Gothic" w:hAnsi="Century Gothic" w:cs="Century Gothic"/>
          <w:cs/>
        </w:rPr>
        <w:t>’</w:t>
      </w:r>
      <w:r>
        <w:rPr>
          <w:rStyle w:val="Normal"/>
          <w:rFonts w:ascii="Century Gothic" w:hAnsi="Century Gothic"/>
        </w:rPr>
        <w:t>élection. C</w:t>
      </w:r>
      <w:r>
        <w:rPr>
          <w:rStyle w:val="Normal"/>
          <w:rFonts w:ascii="Century Gothic" w:hAnsi="Century Gothic" w:cs="Century Gothic"/>
          <w:cs/>
        </w:rPr>
        <w:t>’</w:t>
      </w:r>
      <w:r>
        <w:rPr>
          <w:rStyle w:val="Normal"/>
          <w:rFonts w:ascii="Century Gothic" w:hAnsi="Century Gothic"/>
        </w:rPr>
        <w:t>est une pratique courante de faire l</w:t>
      </w:r>
      <w:r>
        <w:rPr>
          <w:rStyle w:val="Normal"/>
          <w:rFonts w:ascii="Century Gothic" w:hAnsi="Century Gothic" w:cs="Century Gothic"/>
          <w:cs/>
        </w:rPr>
        <w:t>’</w:t>
      </w:r>
      <w:r>
        <w:rPr>
          <w:rStyle w:val="Normal"/>
          <w:rFonts w:ascii="Century Gothic" w:hAnsi="Century Gothic"/>
        </w:rPr>
        <w:t>annonce de la période de nomination au cours de la séance plénière d</w:t>
      </w:r>
      <w:r>
        <w:rPr>
          <w:rStyle w:val="Normal"/>
          <w:rFonts w:ascii="Century Gothic" w:hAnsi="Century Gothic" w:cs="Century Gothic"/>
          <w:cs/>
        </w:rPr>
        <w:t>’</w:t>
      </w:r>
      <w:r>
        <w:rPr>
          <w:rStyle w:val="Normal"/>
          <w:rFonts w:ascii="Century Gothic" w:hAnsi="Century Gothic"/>
        </w:rPr>
        <w:t>ouverture, immédiatement suivie d</w:t>
      </w:r>
      <w:r>
        <w:rPr>
          <w:rStyle w:val="Normal"/>
          <w:rFonts w:ascii="Century Gothic" w:hAnsi="Century Gothic" w:cs="Century Gothic"/>
          <w:cs/>
        </w:rPr>
        <w:t>’</w:t>
      </w:r>
      <w:r>
        <w:rPr>
          <w:rStyle w:val="Normal"/>
          <w:rFonts w:ascii="Century Gothic" w:hAnsi="Century Gothic"/>
        </w:rPr>
        <w:t>un e-mail envoyé à la liste du GAC pour informer tous les membres du GAC de cette ouverture en temps voulu. Il est également une pratique courante d</w:t>
      </w:r>
      <w:r>
        <w:rPr>
          <w:rStyle w:val="Normal"/>
          <w:rFonts w:ascii="Century Gothic" w:hAnsi="Century Gothic" w:cs="Century Gothic"/>
          <w:cs/>
        </w:rPr>
        <w:t>’</w:t>
      </w:r>
      <w:r>
        <w:rPr>
          <w:rStyle w:val="Normal"/>
          <w:rFonts w:ascii="Century Gothic" w:hAnsi="Century Gothic"/>
        </w:rPr>
        <w:t>envoyer des rappels au cours de cette période à la liste du GAC rappelant de l</w:t>
      </w:r>
      <w:r>
        <w:rPr>
          <w:rStyle w:val="Normal"/>
          <w:rFonts w:ascii="Century Gothic" w:hAnsi="Century Gothic" w:cs="Century Gothic"/>
          <w:cs/>
        </w:rPr>
        <w:t>’</w:t>
      </w:r>
      <w:r>
        <w:rPr>
          <w:rStyle w:val="Normal"/>
          <w:rFonts w:ascii="Century Gothic" w:hAnsi="Century Gothic"/>
        </w:rPr>
        <w:t>opportunité de présenter des nominations, habituellement une fois par mois. Au plus tard 14 jours après la clôture de la période de nomination, la liste des candidats sera publiée sur le site Web du GAC, en conformité avec le principe opérationnel nº33. Il est habituel d</w:t>
      </w:r>
      <w:r>
        <w:rPr>
          <w:rStyle w:val="Normal"/>
          <w:rFonts w:ascii="Century Gothic" w:hAnsi="Century Gothic" w:cs="Century Gothic"/>
          <w:cs/>
        </w:rPr>
        <w:t>’</w:t>
      </w:r>
      <w:r>
        <w:rPr>
          <w:rStyle w:val="Normal"/>
          <w:rFonts w:ascii="Century Gothic" w:hAnsi="Century Gothic"/>
        </w:rPr>
        <w:t xml:space="preserve">informer également les membres du GAC des </w:t>
      </w:r>
      <w:r w:rsidR="004A03EB">
        <w:rPr>
          <w:rStyle w:val="Normal"/>
          <w:rFonts w:ascii="Century Gothic" w:hAnsi="Century Gothic"/>
        </w:rPr>
        <w:t>nominations</w:t>
      </w:r>
      <w:r>
        <w:rPr>
          <w:rStyle w:val="Normal"/>
          <w:rFonts w:ascii="Century Gothic" w:hAnsi="Century Gothic"/>
        </w:rPr>
        <w:t xml:space="preserve"> à travers un e-mail envoyé à la liste du GAC énumérant les candidats. </w:t>
      </w:r>
    </w:p>
    <w:p w:rsidR="00D97487" w:rsidRPr="00114873" w:rsidRDefault="00D97487" w:rsidP="00D97487">
      <w:pPr>
        <w:spacing w:line="276" w:lineRule="auto"/>
        <w:rPr>
          <w:rFonts w:ascii="Century Gothic" w:hAnsi="Century Gothic"/>
        </w:rPr>
      </w:pPr>
    </w:p>
    <w:p w:rsidR="00D97487" w:rsidRPr="00114873" w:rsidRDefault="00D97487" w:rsidP="00D97487">
      <w:pPr>
        <w:spacing w:line="276" w:lineRule="auto"/>
        <w:rPr>
          <w:rFonts w:ascii="Century Gothic" w:hAnsi="Century Gothic"/>
        </w:rPr>
      </w:pPr>
      <w:r>
        <w:rPr>
          <w:rStyle w:val="Normal"/>
          <w:rFonts w:ascii="Century Gothic" w:hAnsi="Century Gothic"/>
        </w:rPr>
        <w:t xml:space="preserve">Pour 2018, à compter du 25 juin, </w:t>
      </w:r>
      <w:r>
        <w:rPr>
          <w:rStyle w:val="Normal"/>
          <w:rFonts w:ascii="Century Gothic" w:hAnsi="Century Gothic"/>
          <w:b/>
        </w:rPr>
        <w:t>la période de nomination s</w:t>
      </w:r>
      <w:r>
        <w:rPr>
          <w:rStyle w:val="Normal"/>
          <w:rFonts w:ascii="Century Gothic" w:hAnsi="Century Gothic" w:cs="Century Gothic"/>
          <w:b/>
          <w:cs/>
        </w:rPr>
        <w:t>’</w:t>
      </w:r>
      <w:r>
        <w:rPr>
          <w:rStyle w:val="Normal"/>
          <w:rFonts w:ascii="Century Gothic" w:hAnsi="Century Gothic"/>
          <w:b/>
        </w:rPr>
        <w:t>étendra jusqu</w:t>
      </w:r>
      <w:r>
        <w:rPr>
          <w:rStyle w:val="Normal"/>
          <w:rFonts w:ascii="Century Gothic" w:hAnsi="Century Gothic" w:cs="Century Gothic"/>
          <w:b/>
          <w:cs/>
        </w:rPr>
        <w:t>’</w:t>
      </w:r>
      <w:r>
        <w:rPr>
          <w:rStyle w:val="Normal"/>
          <w:rFonts w:ascii="Century Gothic" w:hAnsi="Century Gothic"/>
          <w:b/>
        </w:rPr>
        <w:t>au 7 septembre 2018.</w:t>
      </w:r>
    </w:p>
    <w:p w:rsidR="00D97487" w:rsidRPr="00114873" w:rsidRDefault="00D97487" w:rsidP="00D97487">
      <w:pPr>
        <w:spacing w:line="276" w:lineRule="auto"/>
        <w:rPr>
          <w:rFonts w:ascii="Century Gothic" w:hAnsi="Century Gothic"/>
        </w:rPr>
      </w:pPr>
      <w:r>
        <w:rPr>
          <w:rStyle w:val="Normal"/>
          <w:rFonts w:ascii="Century Gothic" w:hAnsi="Century Gothic"/>
        </w:rPr>
        <w:t xml:space="preserve"> </w:t>
      </w:r>
    </w:p>
    <w:p w:rsidR="00D97487" w:rsidRPr="006009CA" w:rsidRDefault="00D97487" w:rsidP="00D97487">
      <w:pPr>
        <w:spacing w:line="276" w:lineRule="auto"/>
        <w:rPr>
          <w:rFonts w:ascii="Century Gothic" w:hAnsi="Century Gothic"/>
          <w:b/>
          <w:color w:val="000000"/>
          <w:sz w:val="28"/>
          <w:szCs w:val="28"/>
        </w:rPr>
      </w:pPr>
      <w:r>
        <w:rPr>
          <w:rStyle w:val="Normal"/>
          <w:rFonts w:ascii="Century Gothic" w:hAnsi="Century Gothic"/>
          <w:b/>
          <w:color w:val="000000"/>
          <w:sz w:val="28"/>
        </w:rPr>
        <w:t>Admissibilité pour l</w:t>
      </w:r>
      <w:r>
        <w:rPr>
          <w:rStyle w:val="Normal"/>
          <w:rFonts w:ascii="Century Gothic" w:hAnsi="Century Gothic" w:cs="Century Gothic"/>
          <w:b/>
          <w:color w:val="000000"/>
          <w:sz w:val="28"/>
          <w:cs/>
        </w:rPr>
        <w:t>’</w:t>
      </w:r>
      <w:r>
        <w:rPr>
          <w:rStyle w:val="Normal"/>
          <w:rFonts w:ascii="Century Gothic" w:hAnsi="Century Gothic"/>
          <w:b/>
          <w:color w:val="000000"/>
          <w:sz w:val="28"/>
        </w:rPr>
        <w:t>élection de 2018</w:t>
      </w:r>
    </w:p>
    <w:p w:rsidR="00D97487" w:rsidRPr="006009CA" w:rsidRDefault="00D97487" w:rsidP="00D97487">
      <w:pPr>
        <w:spacing w:line="276" w:lineRule="auto"/>
        <w:rPr>
          <w:rFonts w:ascii="Century Gothic" w:hAnsi="Century Gothic"/>
          <w:b/>
          <w:color w:val="4472C4"/>
          <w:sz w:val="28"/>
          <w:szCs w:val="28"/>
        </w:rPr>
      </w:pPr>
    </w:p>
    <w:p w:rsidR="00D97487" w:rsidRPr="006009CA" w:rsidRDefault="00D97487" w:rsidP="00D97487">
      <w:pPr>
        <w:spacing w:line="276" w:lineRule="auto"/>
        <w:rPr>
          <w:rFonts w:ascii="Century Gothic" w:hAnsi="Century Gothic"/>
          <w:color w:val="000000"/>
        </w:rPr>
      </w:pPr>
      <w:r>
        <w:rPr>
          <w:rStyle w:val="Normal"/>
          <w:rFonts w:ascii="Century Gothic" w:hAnsi="Century Gothic"/>
        </w:rPr>
        <w:t>L</w:t>
      </w:r>
      <w:r>
        <w:rPr>
          <w:rStyle w:val="Normal"/>
          <w:rFonts w:ascii="Century Gothic" w:hAnsi="Century Gothic" w:cs="Century Gothic"/>
          <w:cs/>
        </w:rPr>
        <w:t>’</w:t>
      </w:r>
      <w:r>
        <w:rPr>
          <w:rStyle w:val="Normal"/>
          <w:rFonts w:ascii="Century Gothic" w:hAnsi="Century Gothic"/>
        </w:rPr>
        <w:t>exigence d</w:t>
      </w:r>
      <w:r>
        <w:rPr>
          <w:rStyle w:val="Normal"/>
          <w:rFonts w:ascii="Century Gothic" w:hAnsi="Century Gothic" w:cs="Century Gothic"/>
          <w:cs/>
        </w:rPr>
        <w:t>’</w:t>
      </w:r>
      <w:r>
        <w:rPr>
          <w:rStyle w:val="Normal"/>
          <w:rFonts w:ascii="Century Gothic" w:hAnsi="Century Gothic"/>
        </w:rPr>
        <w:t>admissibilité énoncée dans le principe opérationnel nº22, qui dit que les candidats doivent être des « représentants accrédités », n</w:t>
      </w:r>
      <w:r>
        <w:rPr>
          <w:rStyle w:val="Normal"/>
          <w:rFonts w:ascii="Century Gothic" w:hAnsi="Century Gothic" w:cs="Century Gothic"/>
          <w:cs/>
        </w:rPr>
        <w:t>’</w:t>
      </w:r>
      <w:r>
        <w:rPr>
          <w:rStyle w:val="Normal"/>
          <w:rFonts w:ascii="Century Gothic" w:hAnsi="Century Gothic"/>
        </w:rPr>
        <w:t xml:space="preserve">a dans la pratique pas été interprétée comme signifiant exclusivement </w:t>
      </w:r>
      <w:r>
        <w:rPr>
          <w:rStyle w:val="Normal"/>
          <w:rFonts w:ascii="Century Gothic" w:hAnsi="Century Gothic"/>
        </w:rPr>
        <w:lastRenderedPageBreak/>
        <w:t xml:space="preserve">des représentants avec un grand R, mais des représentants suppléants et des conseillers ont également été élus et ont servi dans ces rôles. </w:t>
      </w:r>
      <w:r>
        <w:rPr>
          <w:rStyle w:val="Normal"/>
          <w:rFonts w:ascii="Century Gothic" w:hAnsi="Century Gothic"/>
          <w:color w:val="000000"/>
        </w:rPr>
        <w:t>L</w:t>
      </w:r>
      <w:r>
        <w:rPr>
          <w:rStyle w:val="Normal"/>
          <w:rFonts w:ascii="Century Gothic" w:hAnsi="Century Gothic" w:cs="Century Gothic"/>
          <w:color w:val="000000"/>
          <w:cs/>
        </w:rPr>
        <w:t>’</w:t>
      </w:r>
      <w:r>
        <w:rPr>
          <w:rStyle w:val="Normal"/>
          <w:rFonts w:ascii="Century Gothic" w:hAnsi="Century Gothic"/>
          <w:color w:val="000000"/>
        </w:rPr>
        <w:t xml:space="preserve">actuelle présidente du GAC (Manal Ismail) et trois des vice-présidents (Cherif Diallo, Pär Brumark et Thiago Jardim) sont admissibles à une réélection pour un nouveau mandat. </w:t>
      </w:r>
    </w:p>
    <w:p w:rsidR="00D97487" w:rsidRPr="006009CA" w:rsidRDefault="00D97487" w:rsidP="00D97487">
      <w:pPr>
        <w:spacing w:line="276" w:lineRule="auto"/>
        <w:rPr>
          <w:rFonts w:ascii="Century Gothic" w:hAnsi="Century Gothic"/>
          <w:b/>
          <w:color w:val="4472C4"/>
          <w:sz w:val="28"/>
          <w:szCs w:val="28"/>
        </w:rPr>
      </w:pPr>
    </w:p>
    <w:p w:rsidR="00D97487" w:rsidRPr="006009CA" w:rsidRDefault="00D97487" w:rsidP="00D97487">
      <w:pPr>
        <w:spacing w:line="276" w:lineRule="auto"/>
        <w:rPr>
          <w:rFonts w:ascii="Century Gothic" w:hAnsi="Century Gothic"/>
          <w:b/>
          <w:color w:val="000000"/>
          <w:sz w:val="28"/>
          <w:szCs w:val="28"/>
        </w:rPr>
      </w:pPr>
      <w:r>
        <w:rPr>
          <w:rStyle w:val="Normal"/>
          <w:rFonts w:ascii="Century Gothic" w:hAnsi="Century Gothic"/>
          <w:b/>
          <w:color w:val="000000"/>
          <w:sz w:val="28"/>
        </w:rPr>
        <w:t>Élections par vote ou par acclamation ?</w:t>
      </w:r>
    </w:p>
    <w:p w:rsidR="00D97487" w:rsidRPr="00114873" w:rsidRDefault="00D97487" w:rsidP="00D97487">
      <w:pPr>
        <w:spacing w:line="276" w:lineRule="auto"/>
        <w:rPr>
          <w:rFonts w:ascii="Century Gothic" w:hAnsi="Century Gothic"/>
          <w:u w:val="single"/>
        </w:rPr>
      </w:pPr>
    </w:p>
    <w:p w:rsidR="00D97487" w:rsidRDefault="00D97487" w:rsidP="00D97487">
      <w:pPr>
        <w:spacing w:line="276" w:lineRule="auto"/>
        <w:rPr>
          <w:rFonts w:ascii="Century Gothic" w:hAnsi="Century Gothic"/>
        </w:rPr>
      </w:pPr>
      <w:r>
        <w:rPr>
          <w:rStyle w:val="Normal"/>
          <w:rFonts w:ascii="Century Gothic" w:hAnsi="Century Gothic"/>
        </w:rPr>
        <w:t>À la fin de la période de nomination, s</w:t>
      </w:r>
      <w:r>
        <w:rPr>
          <w:rStyle w:val="Normal"/>
          <w:rFonts w:ascii="Century Gothic" w:hAnsi="Century Gothic" w:cs="Century Gothic"/>
          <w:cs/>
        </w:rPr>
        <w:t>’</w:t>
      </w:r>
      <w:r>
        <w:rPr>
          <w:rStyle w:val="Normal"/>
          <w:rFonts w:ascii="Century Gothic" w:hAnsi="Century Gothic"/>
        </w:rPr>
        <w:t>il n</w:t>
      </w:r>
      <w:r>
        <w:rPr>
          <w:rStyle w:val="Normal"/>
          <w:rFonts w:ascii="Century Gothic" w:hAnsi="Century Gothic" w:cs="Century Gothic"/>
          <w:cs/>
        </w:rPr>
        <w:t>’</w:t>
      </w:r>
      <w:r>
        <w:rPr>
          <w:rStyle w:val="Normal"/>
          <w:rFonts w:ascii="Century Gothic" w:hAnsi="Century Gothic"/>
        </w:rPr>
        <w:t>y a pas plus d</w:t>
      </w:r>
      <w:r>
        <w:rPr>
          <w:rStyle w:val="Normal"/>
          <w:rFonts w:ascii="Century Gothic" w:hAnsi="Century Gothic" w:cs="Century Gothic"/>
          <w:cs/>
        </w:rPr>
        <w:t>’</w:t>
      </w:r>
      <w:r>
        <w:rPr>
          <w:rStyle w:val="Normal"/>
          <w:rFonts w:ascii="Century Gothic" w:hAnsi="Century Gothic"/>
        </w:rPr>
        <w:t>un candidat à la présidence, ce candidat sera élu par acclamation. De même, s</w:t>
      </w:r>
      <w:r>
        <w:rPr>
          <w:rStyle w:val="Normal"/>
          <w:rFonts w:ascii="Century Gothic" w:hAnsi="Century Gothic" w:cs="Century Gothic"/>
          <w:cs/>
        </w:rPr>
        <w:t>’</w:t>
      </w:r>
      <w:r>
        <w:rPr>
          <w:rStyle w:val="Normal"/>
          <w:rFonts w:ascii="Century Gothic" w:hAnsi="Century Gothic"/>
        </w:rPr>
        <w:t>il n</w:t>
      </w:r>
      <w:r>
        <w:rPr>
          <w:rStyle w:val="Normal"/>
          <w:rFonts w:ascii="Century Gothic" w:hAnsi="Century Gothic" w:cs="Century Gothic"/>
          <w:cs/>
        </w:rPr>
        <w:t>’</w:t>
      </w:r>
      <w:r>
        <w:rPr>
          <w:rStyle w:val="Normal"/>
          <w:rFonts w:ascii="Century Gothic" w:hAnsi="Century Gothic"/>
        </w:rPr>
        <w:t>y a pas plus de cinq candidats à la vice-présidence, ces candidats seront élus par acclamation. L</w:t>
      </w:r>
      <w:r>
        <w:rPr>
          <w:rStyle w:val="Normal"/>
          <w:rFonts w:ascii="Century Gothic" w:hAnsi="Century Gothic" w:cs="Century Gothic"/>
          <w:cs/>
        </w:rPr>
        <w:t>’</w:t>
      </w:r>
      <w:r>
        <w:rPr>
          <w:rStyle w:val="Normal"/>
          <w:rFonts w:ascii="Century Gothic" w:hAnsi="Century Gothic"/>
        </w:rPr>
        <w:t>élection par acclamation a ensuite lieu officiellement au début de la réunion en personne suivante. Si une ou les deux de ces conditions ne sont pas remplies, des élections auront lieu pour voter le président et / ou les vice-présidents, le cas échéant. Selon les principes opérationnels, le président doit informer le GAC sur la situation et le processus qui sera suivi.</w:t>
      </w:r>
    </w:p>
    <w:p w:rsidR="00D97487" w:rsidRDefault="00D97487" w:rsidP="00D97487">
      <w:pPr>
        <w:spacing w:line="276" w:lineRule="auto"/>
        <w:rPr>
          <w:rFonts w:ascii="Century Gothic" w:hAnsi="Century Gothic"/>
        </w:rPr>
      </w:pPr>
    </w:p>
    <w:p w:rsidR="00D97487" w:rsidRPr="006009CA" w:rsidRDefault="00D97487" w:rsidP="00D97487">
      <w:pPr>
        <w:spacing w:line="276" w:lineRule="auto"/>
        <w:rPr>
          <w:rFonts w:ascii="Century Gothic" w:hAnsi="Century Gothic"/>
          <w:b/>
          <w:color w:val="000000"/>
          <w:sz w:val="28"/>
          <w:szCs w:val="28"/>
        </w:rPr>
      </w:pPr>
      <w:r>
        <w:rPr>
          <w:rStyle w:val="Normal"/>
          <w:rFonts w:ascii="Century Gothic" w:hAnsi="Century Gothic"/>
          <w:b/>
          <w:color w:val="000000"/>
          <w:sz w:val="28"/>
        </w:rPr>
        <w:t>Informations complémentaires</w:t>
      </w:r>
    </w:p>
    <w:p w:rsidR="00D97487" w:rsidRDefault="00D97487" w:rsidP="00D97487">
      <w:pPr>
        <w:spacing w:line="276" w:lineRule="auto"/>
        <w:rPr>
          <w:rFonts w:ascii="Century Gothic" w:hAnsi="Century Gothic"/>
        </w:rPr>
      </w:pPr>
    </w:p>
    <w:p w:rsidR="00D97487" w:rsidRPr="00114873" w:rsidRDefault="00D97487" w:rsidP="00D97487">
      <w:pPr>
        <w:spacing w:line="276" w:lineRule="auto"/>
        <w:rPr>
          <w:rFonts w:ascii="Century Gothic" w:hAnsi="Century Gothic"/>
        </w:rPr>
      </w:pPr>
      <w:r>
        <w:rPr>
          <w:rStyle w:val="Normal"/>
          <w:rFonts w:ascii="Century Gothic" w:hAnsi="Century Gothic"/>
        </w:rPr>
        <w:t xml:space="preserve">Principes opérationnels du GAC - </w:t>
      </w:r>
      <w:hyperlink r:id="rId9" w:history="1">
        <w:r>
          <w:rPr>
            <w:rStyle w:val="Hyperlink"/>
            <w:rFonts w:ascii="Century Gothic" w:hAnsi="Century Gothic"/>
          </w:rPr>
          <w:t>https://gac.icann.org/operating-principles/operating-principles-june-2017</w:t>
        </w:r>
      </w:hyperlink>
    </w:p>
    <w:p w:rsidR="00D97487" w:rsidRPr="00E06DE4" w:rsidRDefault="00D97487" w:rsidP="00D97487">
      <w:pPr>
        <w:pStyle w:val="BodyText"/>
        <w:ind w:right="545"/>
      </w:pPr>
    </w:p>
    <w:p w:rsidR="00D97487" w:rsidRPr="00114873" w:rsidRDefault="00D97487" w:rsidP="00D97487">
      <w:pPr>
        <w:pStyle w:val="Heading2"/>
      </w:pPr>
      <w:bookmarkStart w:id="1" w:name="_Hlk484433727"/>
      <w:r>
        <w:rPr>
          <w:rStyle w:val="Heading2"/>
        </w:rPr>
        <w:t>Administration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442"/>
      </w:tblGrid>
      <w:tr w:rsidR="00D97487" w:rsidRPr="003F43E3" w:rsidTr="00D97487">
        <w:tc>
          <w:tcPr>
            <w:tcW w:w="3080" w:type="dxa"/>
            <w:vAlign w:val="center"/>
          </w:tcPr>
          <w:p w:rsidR="00D97487" w:rsidRPr="006009CA" w:rsidRDefault="00D97487" w:rsidP="00D97487">
            <w:pPr>
              <w:ind w:right="-132"/>
              <w:rPr>
                <w:rFonts w:ascii="Century Gothic" w:hAnsi="Century Gothic"/>
                <w:b/>
                <w:sz w:val="20"/>
                <w:szCs w:val="20"/>
              </w:rPr>
            </w:pPr>
            <w:r>
              <w:rPr>
                <w:rStyle w:val="Normal"/>
                <w:rFonts w:ascii="Century Gothic" w:hAnsi="Century Gothic"/>
                <w:b/>
                <w:sz w:val="20"/>
              </w:rPr>
              <w:t>Titre</w:t>
            </w:r>
          </w:p>
        </w:tc>
        <w:tc>
          <w:tcPr>
            <w:tcW w:w="5442" w:type="dxa"/>
            <w:vAlign w:val="center"/>
          </w:tcPr>
          <w:p w:rsidR="00D97487" w:rsidRPr="006009CA" w:rsidRDefault="00D97487" w:rsidP="00D97487">
            <w:pPr>
              <w:ind w:right="545"/>
              <w:rPr>
                <w:rFonts w:ascii="Century Gothic" w:hAnsi="Century Gothic"/>
                <w:sz w:val="20"/>
                <w:szCs w:val="20"/>
              </w:rPr>
            </w:pPr>
            <w:r>
              <w:rPr>
                <w:rStyle w:val="Normal"/>
                <w:rFonts w:ascii="Century Gothic" w:hAnsi="Century Gothic"/>
                <w:sz w:val="20"/>
              </w:rPr>
              <w:t>Secrétariat indépendant et autres questions opérationnelles du GAC</w:t>
            </w:r>
          </w:p>
        </w:tc>
      </w:tr>
      <w:tr w:rsidR="00D97487" w:rsidRPr="003F43E3" w:rsidTr="00D97487">
        <w:tc>
          <w:tcPr>
            <w:tcW w:w="3080" w:type="dxa"/>
            <w:vAlign w:val="center"/>
          </w:tcPr>
          <w:p w:rsidR="00D97487" w:rsidRPr="006009CA" w:rsidRDefault="00D97487" w:rsidP="00D97487">
            <w:pPr>
              <w:ind w:right="-132"/>
              <w:rPr>
                <w:rFonts w:ascii="Century Gothic" w:hAnsi="Century Gothic"/>
                <w:b/>
                <w:sz w:val="20"/>
                <w:szCs w:val="20"/>
              </w:rPr>
            </w:pPr>
            <w:r>
              <w:rPr>
                <w:rStyle w:val="Normal"/>
                <w:rFonts w:ascii="Century Gothic" w:hAnsi="Century Gothic"/>
                <w:b/>
                <w:sz w:val="20"/>
              </w:rPr>
              <w:t>Distribution</w:t>
            </w:r>
          </w:p>
        </w:tc>
        <w:tc>
          <w:tcPr>
            <w:tcW w:w="5442" w:type="dxa"/>
            <w:vAlign w:val="center"/>
          </w:tcPr>
          <w:p w:rsidR="00D97487" w:rsidRPr="006009CA" w:rsidRDefault="00D97487" w:rsidP="00D97487">
            <w:pPr>
              <w:ind w:right="545"/>
              <w:rPr>
                <w:rFonts w:ascii="Century Gothic" w:hAnsi="Century Gothic"/>
                <w:sz w:val="20"/>
                <w:szCs w:val="20"/>
              </w:rPr>
            </w:pPr>
            <w:r>
              <w:rPr>
                <w:rStyle w:val="Normal"/>
                <w:rFonts w:ascii="Century Gothic" w:hAnsi="Century Gothic"/>
                <w:sz w:val="20"/>
              </w:rPr>
              <w:t>Membres du GAC</w:t>
            </w:r>
          </w:p>
        </w:tc>
      </w:tr>
      <w:tr w:rsidR="00D97487" w:rsidRPr="003F43E3" w:rsidTr="00D97487">
        <w:tc>
          <w:tcPr>
            <w:tcW w:w="3080" w:type="dxa"/>
            <w:vAlign w:val="center"/>
          </w:tcPr>
          <w:p w:rsidR="00D97487" w:rsidRPr="006009CA" w:rsidRDefault="00D97487" w:rsidP="00D97487">
            <w:pPr>
              <w:ind w:right="-132"/>
              <w:rPr>
                <w:rFonts w:ascii="Century Gothic" w:hAnsi="Century Gothic"/>
                <w:b/>
                <w:sz w:val="20"/>
                <w:szCs w:val="20"/>
              </w:rPr>
            </w:pPr>
            <w:r>
              <w:rPr>
                <w:rStyle w:val="Normal"/>
                <w:rFonts w:ascii="Century Gothic" w:hAnsi="Century Gothic"/>
                <w:b/>
                <w:sz w:val="20"/>
              </w:rPr>
              <w:t>Date de distribution</w:t>
            </w:r>
          </w:p>
        </w:tc>
        <w:tc>
          <w:tcPr>
            <w:tcW w:w="5442" w:type="dxa"/>
            <w:vAlign w:val="center"/>
          </w:tcPr>
          <w:p w:rsidR="00D97487" w:rsidRPr="006009CA" w:rsidRDefault="00D97487" w:rsidP="00D97487">
            <w:pPr>
              <w:ind w:right="545"/>
              <w:rPr>
                <w:rFonts w:ascii="Century Gothic" w:hAnsi="Century Gothic"/>
                <w:sz w:val="20"/>
                <w:szCs w:val="20"/>
              </w:rPr>
            </w:pPr>
            <w:r>
              <w:rPr>
                <w:rStyle w:val="Normal"/>
                <w:rFonts w:ascii="Century Gothic" w:hAnsi="Century Gothic"/>
                <w:sz w:val="20"/>
              </w:rPr>
              <w:t>7 juin 2018</w:t>
            </w:r>
          </w:p>
        </w:tc>
      </w:tr>
      <w:bookmarkEnd w:id="1"/>
    </w:tbl>
    <w:p w:rsidR="00D97487" w:rsidRDefault="00D97487" w:rsidP="00D97487">
      <w:pPr>
        <w:pStyle w:val="BodyText"/>
        <w:ind w:right="545"/>
        <w:rPr>
          <w:color w:val="000000"/>
          <w:szCs w:val="20"/>
        </w:rPr>
      </w:pPr>
    </w:p>
    <w:p w:rsidR="00D97487" w:rsidRDefault="00D97487" w:rsidP="00D97487">
      <w:pPr>
        <w:pStyle w:val="BodyText"/>
        <w:ind w:right="545"/>
        <w:rPr>
          <w:color w:val="000000"/>
          <w:szCs w:val="20"/>
        </w:rPr>
      </w:pPr>
    </w:p>
    <w:p w:rsidR="00D97487" w:rsidRPr="004361B1" w:rsidRDefault="00D97487" w:rsidP="00D97487">
      <w:pPr>
        <w:pStyle w:val="BodyText"/>
      </w:pPr>
    </w:p>
    <w:sectPr w:rsidR="00D97487" w:rsidRPr="004361B1" w:rsidSect="00D97487">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7E" w:rsidRDefault="0015277E">
      <w:r>
        <w:separator/>
      </w:r>
    </w:p>
  </w:endnote>
  <w:endnote w:type="continuationSeparator" w:id="0">
    <w:p w:rsidR="0015277E" w:rsidRDefault="0015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487" w:rsidRDefault="00D97487" w:rsidP="00D974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487" w:rsidRDefault="00D97487" w:rsidP="00D97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487" w:rsidRDefault="00D97487" w:rsidP="00D974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D97487" w:rsidRDefault="00D97487" w:rsidP="00D97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7E" w:rsidRDefault="0015277E">
      <w:r>
        <w:separator/>
      </w:r>
    </w:p>
  </w:footnote>
  <w:footnote w:type="continuationSeparator" w:id="0">
    <w:p w:rsidR="0015277E" w:rsidRDefault="0015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487" w:rsidRDefault="00D8412E">
    <w:pPr>
      <w:pStyle w:val="Header"/>
    </w:pPr>
    <w:r>
      <w:rPr>
        <w:noProof/>
      </w:rPr>
      <w:drawing>
        <wp:anchor distT="0" distB="0" distL="114300" distR="114300" simplePos="0" relativeHeight="251657728" behindDoc="1" locked="0" layoutInCell="1" allowOverlap="1">
          <wp:simplePos x="0" y="0"/>
          <wp:positionH relativeFrom="column">
            <wp:posOffset>1670685</wp:posOffset>
          </wp:positionH>
          <wp:positionV relativeFrom="paragraph">
            <wp:posOffset>-512445</wp:posOffset>
          </wp:positionV>
          <wp:extent cx="2124075" cy="1363980"/>
          <wp:effectExtent l="0" t="0" r="0" b="0"/>
          <wp:wrapNone/>
          <wp:docPr id="1"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hybrid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hybridMultilevel"/>
    <w:tmpl w:val="00000004"/>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hybrid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83916"/>
    <w:multiLevelType w:val="hybridMultilevel"/>
    <w:tmpl w:val="9E6280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96B99"/>
    <w:multiLevelType w:val="hybridMultilevel"/>
    <w:tmpl w:val="101684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544E6B09"/>
    <w:multiLevelType w:val="hybridMultilevel"/>
    <w:tmpl w:val="2E480A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5C4348F7"/>
    <w:multiLevelType w:val="hybridMultilevel"/>
    <w:tmpl w:val="E00A97AC"/>
    <w:lvl w:ilvl="0">
      <w:start w:val="1"/>
      <w:numFmt w:val="decimal"/>
      <w:lvlText w:val="%1."/>
      <w:lvlJc w:val="left"/>
      <w:pPr>
        <w:ind w:left="360" w:hanging="360"/>
      </w:pPr>
      <w:rPr>
        <w:rFonts w:eastAsia="Times New Roman"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662604B2"/>
    <w:multiLevelType w:val="hybridMultilevel"/>
    <w:tmpl w:val="DCBEFB8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6B072D34"/>
    <w:multiLevelType w:val="hybridMultilevel"/>
    <w:tmpl w:val="C03A2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7DFC0066"/>
    <w:multiLevelType w:val="hybridMultilevel"/>
    <w:tmpl w:val="155CEBF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12"/>
  </w:num>
  <w:num w:numId="6">
    <w:abstractNumId w:val="8"/>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1"/>
    <w:rsid w:val="0015277E"/>
    <w:rsid w:val="004A03EB"/>
    <w:rsid w:val="00C31126"/>
    <w:rsid w:val="00D8412E"/>
    <w:rsid w:val="00D9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8EA4"/>
  <w15:chartTrackingRefBased/>
  <w15:docId w15:val="{EF7A179D-7086-48F7-A751-27509B1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1B1"/>
    <w:rPr>
      <w:rFonts w:ascii="Times New Roman" w:eastAsia="Times New Roman" w:hAnsi="Times New Roman"/>
      <w:sz w:val="24"/>
      <w:szCs w:val="24"/>
      <w:lang w:val="fr-FR" w:eastAsia="fr-FR"/>
    </w:rPr>
  </w:style>
  <w:style w:type="paragraph" w:styleId="Heading1">
    <w:name w:val="heading 1"/>
    <w:next w:val="BodyText"/>
    <w:link w:val="Heading1Ch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hAnsi="Century Gothic"/>
      <w:b/>
      <w:color w:val="00408E"/>
      <w:sz w:val="28"/>
      <w:szCs w:val="28"/>
      <w:lang w:val="fr-FR" w:eastAsia="fr-FR"/>
    </w:rPr>
  </w:style>
  <w:style w:type="paragraph" w:styleId="Heading2">
    <w:name w:val="heading 2"/>
    <w:basedOn w:val="BodyText"/>
    <w:next w:val="BodyText"/>
    <w:link w:val="Heading2Char"/>
    <w:autoRedefine/>
    <w:uiPriority w:val="9"/>
    <w:unhideWhenUsed/>
    <w:qFormat/>
    <w:rsid w:val="001A26D4"/>
    <w:pPr>
      <w:keepNext/>
      <w:keepLines/>
      <w:spacing w:after="200" w:line="276" w:lineRule="auto"/>
      <w:ind w:right="545"/>
      <w:jc w:val="both"/>
      <w:outlineLvl w:val="1"/>
    </w:pPr>
    <w:rPr>
      <w:rFonts w:ascii="Century Gothic" w:eastAsia="Calibri" w:hAnsi="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1B1"/>
    <w:rPr>
      <w:rFonts w:ascii="Century Gothic" w:eastAsia="Calibri" w:hAnsi="Century Gothic" w:cs="Times New Roman"/>
      <w:b/>
      <w:color w:val="00408E"/>
      <w:sz w:val="28"/>
      <w:szCs w:val="28"/>
      <w:lang w:val="fr-FR" w:eastAsia="fr-FR"/>
    </w:rPr>
  </w:style>
  <w:style w:type="character" w:customStyle="1" w:styleId="Heading2Char">
    <w:name w:val="Heading 2 Char"/>
    <w:link w:val="Heading2"/>
    <w:uiPriority w:val="9"/>
    <w:rsid w:val="001A26D4"/>
    <w:rPr>
      <w:rFonts w:ascii="Century Gothic" w:eastAsia="Calibri" w:hAnsi="Century Gothic" w:cs="Times New Roman"/>
      <w:b/>
      <w:color w:val="000000"/>
      <w:lang w:val="fr-FR" w:eastAsia="fr-FR"/>
    </w:rPr>
  </w:style>
  <w:style w:type="paragraph" w:styleId="Header">
    <w:name w:val="header"/>
    <w:basedOn w:val="Normal"/>
    <w:link w:val="HeaderChar"/>
    <w:uiPriority w:val="99"/>
    <w:unhideWhenUsed/>
    <w:rsid w:val="004361B1"/>
    <w:pPr>
      <w:tabs>
        <w:tab w:val="center" w:pos="4320"/>
        <w:tab w:val="right" w:pos="8640"/>
      </w:tabs>
    </w:pPr>
    <w:rPr>
      <w:rFonts w:ascii="Calibri" w:hAnsi="Calibri"/>
    </w:rPr>
  </w:style>
  <w:style w:type="character" w:customStyle="1" w:styleId="HeaderChar">
    <w:name w:val="Header Char"/>
    <w:link w:val="Header"/>
    <w:uiPriority w:val="99"/>
    <w:rsid w:val="004361B1"/>
    <w:rPr>
      <w:rFonts w:eastAsia="Times New Roman"/>
      <w:lang w:val="fr-FR" w:eastAsia="fr-FR"/>
    </w:rPr>
  </w:style>
  <w:style w:type="paragraph" w:styleId="Footer">
    <w:name w:val="footer"/>
    <w:basedOn w:val="Normal"/>
    <w:link w:val="FooterChar"/>
    <w:uiPriority w:val="99"/>
    <w:unhideWhenUsed/>
    <w:rsid w:val="004361B1"/>
    <w:pPr>
      <w:tabs>
        <w:tab w:val="center" w:pos="4536"/>
        <w:tab w:val="right" w:pos="9072"/>
      </w:tabs>
    </w:pPr>
    <w:rPr>
      <w:rFonts w:ascii="Calibri" w:hAnsi="Calibri"/>
    </w:rPr>
  </w:style>
  <w:style w:type="character" w:customStyle="1" w:styleId="FooterChar">
    <w:name w:val="Footer Char"/>
    <w:link w:val="Footer"/>
    <w:uiPriority w:val="99"/>
    <w:rsid w:val="004361B1"/>
    <w:rPr>
      <w:rFonts w:eastAsia="Times New Roman"/>
      <w:lang w:val="fr-FR" w:eastAsia="fr-FR"/>
    </w:rPr>
  </w:style>
  <w:style w:type="character" w:styleId="PageNumber">
    <w:name w:val="page number"/>
    <w:basedOn w:val="DefaultParagraphFont"/>
    <w:uiPriority w:val="99"/>
    <w:semiHidden/>
    <w:unhideWhenUsed/>
    <w:rsid w:val="004361B1"/>
  </w:style>
  <w:style w:type="paragraph" w:styleId="BodyText">
    <w:name w:val="Body Text"/>
    <w:basedOn w:val="Normal"/>
    <w:link w:val="BodyTextChar"/>
    <w:uiPriority w:val="99"/>
    <w:unhideWhenUsed/>
    <w:rsid w:val="004361B1"/>
    <w:pPr>
      <w:spacing w:after="120"/>
    </w:pPr>
  </w:style>
  <w:style w:type="character" w:customStyle="1" w:styleId="BodyTextChar">
    <w:name w:val="Body Text Char"/>
    <w:link w:val="BodyText"/>
    <w:uiPriority w:val="99"/>
    <w:rsid w:val="004361B1"/>
    <w:rPr>
      <w:rFonts w:ascii="Times New Roman" w:eastAsia="Times New Roman" w:hAnsi="Times New Roman" w:cs="Times New Roman"/>
      <w:lang w:val="fr-FR" w:eastAsia="fr-FR"/>
    </w:rPr>
  </w:style>
  <w:style w:type="paragraph" w:styleId="ListParagraph">
    <w:name w:val="List Paragraph"/>
    <w:basedOn w:val="Normal"/>
    <w:uiPriority w:val="34"/>
    <w:qFormat/>
    <w:rsid w:val="004361B1"/>
    <w:pPr>
      <w:ind w:left="720"/>
      <w:contextualSpacing/>
    </w:pPr>
  </w:style>
  <w:style w:type="character" w:styleId="Hyperlink">
    <w:name w:val="Hyperlink"/>
    <w:uiPriority w:val="99"/>
    <w:unhideWhenUsed/>
    <w:rsid w:val="004361B1"/>
    <w:rPr>
      <w:color w:val="0563C1"/>
      <w:u w:val="single"/>
      <w:lang w:val="fr-FR" w:eastAsia="fr-FR"/>
    </w:rPr>
  </w:style>
  <w:style w:type="paragraph" w:styleId="NormalWeb">
    <w:name w:val="Normal (Web)"/>
    <w:basedOn w:val="Normal"/>
    <w:uiPriority w:val="99"/>
    <w:semiHidden/>
    <w:unhideWhenUsed/>
    <w:rsid w:val="004361B1"/>
    <w:pPr>
      <w:spacing w:before="100" w:beforeAutospacing="1" w:after="100" w:afterAutospacing="1"/>
    </w:pPr>
  </w:style>
  <w:style w:type="character" w:styleId="Strong">
    <w:name w:val="Strong"/>
    <w:uiPriority w:val="22"/>
    <w:qFormat/>
    <w:rsid w:val="004361B1"/>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c@gac.ican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c.icann.org/minutes/icann61-meeting-gac-minu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ac.icann.org/operating-principles/operating-principles-jun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12601</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14782</CharactersWithSpaces>
  <SharedDoc>false</SharedDoc>
  <HLinks>
    <vt:vector size="18" baseType="variant">
      <vt:variant>
        <vt:i4>4915273</vt:i4>
      </vt:variant>
      <vt:variant>
        <vt:i4>6</vt:i4>
      </vt:variant>
      <vt:variant>
        <vt:i4>0</vt:i4>
      </vt:variant>
      <vt:variant>
        <vt:i4>5</vt:i4>
      </vt:variant>
      <vt:variant>
        <vt:lpwstr>https://gac.icann.org/operating-principles/operating-principles-june-2017</vt:lpwstr>
      </vt:variant>
      <vt:variant>
        <vt:lpwstr/>
      </vt:variant>
      <vt:variant>
        <vt:i4>786549</vt:i4>
      </vt:variant>
      <vt:variant>
        <vt:i4>3</vt:i4>
      </vt:variant>
      <vt:variant>
        <vt:i4>0</vt:i4>
      </vt:variant>
      <vt:variant>
        <vt:i4>5</vt:i4>
      </vt:variant>
      <vt:variant>
        <vt:lpwstr>mailto:gac@gac.icann.org</vt:lpwstr>
      </vt:variant>
      <vt:variant>
        <vt:lpwstr/>
      </vt:variant>
      <vt:variant>
        <vt:i4>458764</vt:i4>
      </vt:variant>
      <vt:variant>
        <vt:i4>0</vt:i4>
      </vt:variant>
      <vt:variant>
        <vt:i4>0</vt:i4>
      </vt:variant>
      <vt:variant>
        <vt:i4>5</vt:i4>
      </vt:variant>
      <vt:variant>
        <vt:lpwstr>https://gac.icann.org/minutes/icann61-meeting-gac-minutes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LS Pros</cp:lastModifiedBy>
  <cp:revision>2</cp:revision>
  <dcterms:created xsi:type="dcterms:W3CDTF">2018-06-21T20:43:00Z</dcterms:created>
  <dcterms:modified xsi:type="dcterms:W3CDTF">2018-06-21T20:43:00Z</dcterms:modified>
</cp:coreProperties>
</file>